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365315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5D781A">
        <w:rPr>
          <w:rFonts w:ascii="Arial" w:hAnsi="Arial" w:cs="Arial"/>
          <w:b/>
          <w:sz w:val="28"/>
          <w:szCs w:val="28"/>
        </w:rPr>
        <w:t>2</w:t>
      </w:r>
      <w:r w:rsidR="008C407B">
        <w:rPr>
          <w:rFonts w:ascii="Arial" w:hAnsi="Arial" w:cs="Arial"/>
          <w:b/>
          <w:sz w:val="28"/>
          <w:szCs w:val="28"/>
        </w:rPr>
        <w:t>6</w:t>
      </w:r>
      <w:r w:rsidR="004F314D">
        <w:rPr>
          <w:rFonts w:ascii="Arial" w:hAnsi="Arial" w:cs="Arial"/>
          <w:b/>
          <w:sz w:val="28"/>
          <w:szCs w:val="28"/>
        </w:rPr>
        <w:t>7</w:t>
      </w:r>
    </w:p>
    <w:p w:rsidR="00365315" w:rsidRDefault="00365315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5D781A" w:rsidRDefault="005D781A" w:rsidP="00BE788A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5D781A" w:rsidRPr="00065522" w:rsidRDefault="005D781A" w:rsidP="00BE788A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6D65BF" w:rsidRPr="005D673C" w:rsidRDefault="006D65BF" w:rsidP="006D65BF">
      <w:pPr>
        <w:pStyle w:val="Header"/>
        <w:tabs>
          <w:tab w:val="clear" w:pos="8640"/>
          <w:tab w:val="left" w:pos="4395"/>
        </w:tabs>
        <w:jc w:val="both"/>
        <w:rPr>
          <w:rFonts w:ascii="Arial" w:hAnsi="Arial" w:cs="Arial"/>
          <w:sz w:val="24"/>
          <w:szCs w:val="24"/>
        </w:rPr>
      </w:pPr>
      <w:r w:rsidRPr="005D673C">
        <w:rPr>
          <w:rFonts w:ascii="Arial" w:hAnsi="Arial" w:cs="Arial"/>
          <w:sz w:val="24"/>
          <w:szCs w:val="24"/>
        </w:rPr>
        <w:t>Mrs Lambley</w:t>
      </w:r>
      <w:r w:rsidR="00FE1C1C" w:rsidRPr="005D673C">
        <w:rPr>
          <w:rFonts w:ascii="Arial" w:hAnsi="Arial" w:cs="Arial"/>
          <w:sz w:val="24"/>
          <w:szCs w:val="24"/>
        </w:rPr>
        <w:t xml:space="preserve"> to </w:t>
      </w:r>
      <w:r w:rsidRPr="005D673C">
        <w:rPr>
          <w:rFonts w:ascii="Arial" w:hAnsi="Arial" w:cs="Arial"/>
          <w:sz w:val="24"/>
          <w:szCs w:val="24"/>
        </w:rPr>
        <w:t>Minister for Children and Families.</w:t>
      </w:r>
    </w:p>
    <w:p w:rsidR="006D65BF" w:rsidRPr="005D673C" w:rsidRDefault="006D65BF" w:rsidP="006D65BF">
      <w:pPr>
        <w:pStyle w:val="Header"/>
        <w:tabs>
          <w:tab w:val="clear" w:pos="4320"/>
          <w:tab w:val="clear" w:pos="8640"/>
          <w:tab w:val="left" w:pos="4395"/>
        </w:tabs>
        <w:jc w:val="both"/>
        <w:rPr>
          <w:rFonts w:ascii="Arial" w:hAnsi="Arial" w:cs="Arial"/>
          <w:sz w:val="24"/>
          <w:szCs w:val="24"/>
          <w:lang w:val="en-AU"/>
        </w:rPr>
      </w:pPr>
    </w:p>
    <w:p w:rsidR="004F314D" w:rsidRPr="005D673C" w:rsidRDefault="004F314D" w:rsidP="004F314D">
      <w:pPr>
        <w:pStyle w:val="Header"/>
        <w:tabs>
          <w:tab w:val="clear" w:pos="4320"/>
          <w:tab w:val="clear" w:pos="8640"/>
          <w:tab w:val="left" w:pos="4395"/>
        </w:tabs>
        <w:jc w:val="center"/>
        <w:rPr>
          <w:rFonts w:ascii="Arial" w:hAnsi="Arial" w:cs="Arial"/>
          <w:b/>
          <w:sz w:val="24"/>
          <w:szCs w:val="24"/>
          <w:lang w:val="en-AU"/>
        </w:rPr>
      </w:pPr>
      <w:r w:rsidRPr="005D673C">
        <w:rPr>
          <w:rFonts w:ascii="Arial" w:hAnsi="Arial" w:cs="Arial"/>
          <w:b/>
          <w:sz w:val="24"/>
          <w:szCs w:val="24"/>
        </w:rPr>
        <w:t>Ombudsman Report – A Lifelong Shadow</w:t>
      </w:r>
    </w:p>
    <w:p w:rsidR="004F314D" w:rsidRPr="005D673C" w:rsidRDefault="004F314D" w:rsidP="006D65BF">
      <w:pPr>
        <w:pStyle w:val="Header"/>
        <w:tabs>
          <w:tab w:val="clear" w:pos="4320"/>
          <w:tab w:val="clear" w:pos="8640"/>
          <w:tab w:val="left" w:pos="4395"/>
        </w:tabs>
        <w:jc w:val="both"/>
        <w:rPr>
          <w:rFonts w:ascii="Arial" w:hAnsi="Arial" w:cs="Arial"/>
          <w:sz w:val="24"/>
          <w:szCs w:val="24"/>
          <w:lang w:val="en-AU"/>
        </w:rPr>
      </w:pPr>
    </w:p>
    <w:p w:rsidR="004F314D" w:rsidRPr="004F681F" w:rsidRDefault="004F314D" w:rsidP="004F681F">
      <w:pPr>
        <w:pStyle w:val="ListParagraph"/>
        <w:ind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4F681F">
        <w:rPr>
          <w:rFonts w:ascii="Arial" w:hAnsi="Arial" w:cs="Arial"/>
          <w:sz w:val="24"/>
          <w:szCs w:val="24"/>
        </w:rPr>
        <w:t>1.</w:t>
      </w:r>
      <w:r w:rsidRPr="004F681F">
        <w:rPr>
          <w:rFonts w:ascii="Arial" w:hAnsi="Arial" w:cs="Arial"/>
          <w:sz w:val="24"/>
          <w:szCs w:val="24"/>
        </w:rPr>
        <w:tab/>
        <w:t xml:space="preserve">What was the cost of the legal opinion obtained by the Department referred to on page 22 of the Ombudsman Report – A Lifelong </w:t>
      </w:r>
      <w:proofErr w:type="gramStart"/>
      <w:r w:rsidRPr="004F681F">
        <w:rPr>
          <w:rFonts w:ascii="Arial" w:hAnsi="Arial" w:cs="Arial"/>
          <w:sz w:val="24"/>
          <w:szCs w:val="24"/>
        </w:rPr>
        <w:t>Shadow.</w:t>
      </w:r>
      <w:proofErr w:type="gramEnd"/>
    </w:p>
    <w:p w:rsidR="004F314D" w:rsidRPr="004F681F" w:rsidRDefault="004F314D" w:rsidP="004F681F">
      <w:pPr>
        <w:pStyle w:val="ListParagraph"/>
        <w:ind w:hanging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681F" w:rsidRPr="004F681F" w:rsidRDefault="004F681F" w:rsidP="004F681F">
      <w:pPr>
        <w:pStyle w:val="ListParagraph"/>
        <w:contextualSpacing w:val="0"/>
        <w:jc w:val="both"/>
        <w:rPr>
          <w:rFonts w:ascii="Arial" w:hAnsi="Arial" w:cs="Arial"/>
          <w:sz w:val="24"/>
          <w:szCs w:val="24"/>
        </w:rPr>
      </w:pPr>
      <w:r w:rsidRPr="004F681F">
        <w:rPr>
          <w:rFonts w:ascii="Arial" w:hAnsi="Arial" w:cs="Arial"/>
          <w:color w:val="FF0000"/>
          <w:sz w:val="24"/>
          <w:szCs w:val="24"/>
        </w:rPr>
        <w:t>The cost of the legal opinion obtained by the Department referred to on page 22 of the Ombudsman’s Report was $5,500 inclusive of GST.</w:t>
      </w:r>
    </w:p>
    <w:p w:rsidR="004F681F" w:rsidRPr="004F681F" w:rsidRDefault="004F681F" w:rsidP="004F681F">
      <w:pPr>
        <w:pStyle w:val="ListParagraph"/>
        <w:ind w:hanging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314D" w:rsidRPr="004F681F" w:rsidRDefault="004F314D" w:rsidP="004F681F">
      <w:pPr>
        <w:pStyle w:val="ListParagraph"/>
        <w:ind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4F681F">
        <w:rPr>
          <w:rFonts w:ascii="Arial" w:hAnsi="Arial" w:cs="Arial"/>
          <w:sz w:val="24"/>
          <w:szCs w:val="24"/>
        </w:rPr>
        <w:t>2.</w:t>
      </w:r>
      <w:r w:rsidRPr="004F681F">
        <w:rPr>
          <w:rFonts w:ascii="Arial" w:hAnsi="Arial" w:cs="Arial"/>
          <w:sz w:val="24"/>
          <w:szCs w:val="24"/>
        </w:rPr>
        <w:tab/>
        <w:t>Who was the Barrister engaged to accompany staff being interviewed as witnesses by the Ombudsman as reported in the Ombudsman Report – A Lifelong Shadow.</w:t>
      </w:r>
    </w:p>
    <w:p w:rsidR="004F681F" w:rsidRPr="004F681F" w:rsidRDefault="004F681F" w:rsidP="004F681F">
      <w:pPr>
        <w:pStyle w:val="ListParagraph"/>
        <w:ind w:hanging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681F" w:rsidRPr="004F681F" w:rsidRDefault="004F681F" w:rsidP="004F681F">
      <w:pPr>
        <w:pStyle w:val="NoSpacing"/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 w:rsidRPr="004F681F">
        <w:rPr>
          <w:rFonts w:ascii="Arial" w:hAnsi="Arial" w:cs="Arial"/>
          <w:color w:val="FF0000"/>
          <w:sz w:val="24"/>
          <w:szCs w:val="24"/>
          <w:lang w:eastAsia="en-AU"/>
        </w:rPr>
        <w:t>There was more than one barrister engaged to accompany staff to interviews with the</w:t>
      </w:r>
      <w:r w:rsidR="00210340">
        <w:rPr>
          <w:rFonts w:ascii="Arial" w:hAnsi="Arial" w:cs="Arial"/>
          <w:color w:val="FF0000"/>
          <w:sz w:val="24"/>
          <w:szCs w:val="24"/>
          <w:lang w:eastAsia="en-AU"/>
        </w:rPr>
        <w:t xml:space="preserve"> Ombudsman. A Barrister from the William Foster Chambers accompanied one witness and a Barrister from the Edmond Barton Chambers accompanied two witnesses.</w:t>
      </w:r>
    </w:p>
    <w:p w:rsidR="004F681F" w:rsidRPr="004F681F" w:rsidRDefault="004F681F" w:rsidP="004F681F">
      <w:pPr>
        <w:pStyle w:val="ListParagraph"/>
        <w:ind w:hanging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314D" w:rsidRPr="004F681F" w:rsidRDefault="004F314D" w:rsidP="004F681F">
      <w:pPr>
        <w:pStyle w:val="ListParagraph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4F681F">
        <w:rPr>
          <w:rFonts w:ascii="Arial" w:hAnsi="Arial" w:cs="Arial"/>
          <w:sz w:val="24"/>
          <w:szCs w:val="24"/>
        </w:rPr>
        <w:t>3.</w:t>
      </w:r>
      <w:r w:rsidRPr="004F681F">
        <w:rPr>
          <w:rFonts w:ascii="Arial" w:hAnsi="Arial" w:cs="Arial"/>
          <w:sz w:val="24"/>
          <w:szCs w:val="24"/>
        </w:rPr>
        <w:tab/>
      </w:r>
      <w:proofErr w:type="gramStart"/>
      <w:r w:rsidRPr="004F681F">
        <w:rPr>
          <w:rFonts w:ascii="Arial" w:hAnsi="Arial" w:cs="Arial"/>
          <w:sz w:val="24"/>
          <w:szCs w:val="24"/>
        </w:rPr>
        <w:t>Was</w:t>
      </w:r>
      <w:proofErr w:type="gramEnd"/>
      <w:r w:rsidRPr="004F681F">
        <w:rPr>
          <w:rFonts w:ascii="Arial" w:hAnsi="Arial" w:cs="Arial"/>
          <w:sz w:val="24"/>
          <w:szCs w:val="24"/>
        </w:rPr>
        <w:t xml:space="preserve"> he/she from the Territory or from interstate and if so, which state.</w:t>
      </w:r>
    </w:p>
    <w:p w:rsidR="004F681F" w:rsidRPr="004F681F" w:rsidRDefault="004F681F" w:rsidP="004F681F">
      <w:pPr>
        <w:jc w:val="both"/>
        <w:rPr>
          <w:rFonts w:ascii="Arial" w:hAnsi="Arial" w:cs="Arial"/>
        </w:rPr>
      </w:pPr>
    </w:p>
    <w:p w:rsidR="004F681F" w:rsidRPr="004F681F" w:rsidRDefault="004F681F" w:rsidP="004F681F">
      <w:pPr>
        <w:pStyle w:val="NoSpacing"/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 w:rsidRPr="004F681F">
        <w:rPr>
          <w:rFonts w:ascii="Arial" w:hAnsi="Arial" w:cs="Arial"/>
          <w:color w:val="FF0000"/>
          <w:sz w:val="24"/>
          <w:szCs w:val="24"/>
        </w:rPr>
        <w:t>Both barristers who accompanied staff being interviewed as witnesses by the Ombudsman are based in the Northern Territory.</w:t>
      </w:r>
    </w:p>
    <w:p w:rsidR="004F681F" w:rsidRPr="004F681F" w:rsidRDefault="004F681F" w:rsidP="004F681F">
      <w:pPr>
        <w:jc w:val="both"/>
        <w:rPr>
          <w:rFonts w:ascii="Arial" w:hAnsi="Arial" w:cs="Arial"/>
        </w:rPr>
      </w:pPr>
    </w:p>
    <w:p w:rsidR="004F314D" w:rsidRPr="004F681F" w:rsidRDefault="004F314D" w:rsidP="004F681F">
      <w:pPr>
        <w:pStyle w:val="ListParagraph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4F681F">
        <w:rPr>
          <w:rFonts w:ascii="Arial" w:hAnsi="Arial" w:cs="Arial"/>
          <w:sz w:val="24"/>
          <w:szCs w:val="24"/>
        </w:rPr>
        <w:t>4.</w:t>
      </w:r>
      <w:r w:rsidRPr="004F681F">
        <w:rPr>
          <w:rFonts w:ascii="Arial" w:hAnsi="Arial" w:cs="Arial"/>
          <w:sz w:val="24"/>
          <w:szCs w:val="24"/>
        </w:rPr>
        <w:tab/>
        <w:t xml:space="preserve">Which firm did the Barrister come </w:t>
      </w:r>
      <w:proofErr w:type="gramStart"/>
      <w:r w:rsidRPr="004F681F">
        <w:rPr>
          <w:rFonts w:ascii="Arial" w:hAnsi="Arial" w:cs="Arial"/>
          <w:sz w:val="24"/>
          <w:szCs w:val="24"/>
        </w:rPr>
        <w:t>from.</w:t>
      </w:r>
      <w:proofErr w:type="gramEnd"/>
    </w:p>
    <w:p w:rsidR="004F681F" w:rsidRPr="004F681F" w:rsidRDefault="004F681F" w:rsidP="004F681F">
      <w:pPr>
        <w:pStyle w:val="ListParagraph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681F" w:rsidRPr="004F681F" w:rsidRDefault="00210340" w:rsidP="00210340">
      <w:pPr>
        <w:autoSpaceDE w:val="0"/>
        <w:autoSpaceDN w:val="0"/>
        <w:adjustRightInd w:val="0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William Forster C</w:t>
      </w:r>
      <w:r w:rsidR="004F681F" w:rsidRPr="004F681F">
        <w:rPr>
          <w:rFonts w:ascii="Arial" w:hAnsi="Arial" w:cs="Arial"/>
          <w:color w:val="FF0000"/>
        </w:rPr>
        <w:t>hambers</w:t>
      </w:r>
      <w:r>
        <w:rPr>
          <w:rFonts w:ascii="Arial" w:hAnsi="Arial" w:cs="Arial"/>
          <w:color w:val="FF0000"/>
        </w:rPr>
        <w:t xml:space="preserve"> and the Edmond Barton Chambers both located</w:t>
      </w:r>
      <w:r w:rsidR="004F681F" w:rsidRPr="004F681F">
        <w:rPr>
          <w:rFonts w:ascii="Arial" w:hAnsi="Arial" w:cs="Arial"/>
          <w:color w:val="FF0000"/>
        </w:rPr>
        <w:t xml:space="preserve"> in Darwin.  </w:t>
      </w:r>
      <w:r w:rsidR="004F681F">
        <w:rPr>
          <w:rFonts w:ascii="Arial" w:hAnsi="Arial" w:cs="Arial"/>
          <w:color w:val="FF0000"/>
        </w:rPr>
        <w:br/>
      </w:r>
    </w:p>
    <w:p w:rsidR="004F681F" w:rsidRPr="004F681F" w:rsidRDefault="004F681F" w:rsidP="004F681F">
      <w:pPr>
        <w:pStyle w:val="ListParagraph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314D" w:rsidRPr="004F681F" w:rsidRDefault="004F314D" w:rsidP="004F681F">
      <w:pPr>
        <w:pStyle w:val="ListParagraph"/>
        <w:ind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4F681F">
        <w:rPr>
          <w:rFonts w:ascii="Arial" w:hAnsi="Arial" w:cs="Arial"/>
          <w:sz w:val="24"/>
          <w:szCs w:val="24"/>
        </w:rPr>
        <w:t>5.</w:t>
      </w:r>
      <w:r w:rsidRPr="004F681F">
        <w:rPr>
          <w:rFonts w:ascii="Arial" w:hAnsi="Arial" w:cs="Arial"/>
          <w:sz w:val="24"/>
          <w:szCs w:val="24"/>
        </w:rPr>
        <w:tab/>
        <w:t xml:space="preserve">Why was a legal opinion sought from a senior counsel at the Victorian </w:t>
      </w:r>
      <w:proofErr w:type="gramStart"/>
      <w:r w:rsidRPr="004F681F">
        <w:rPr>
          <w:rFonts w:ascii="Arial" w:hAnsi="Arial" w:cs="Arial"/>
          <w:sz w:val="24"/>
          <w:szCs w:val="24"/>
        </w:rPr>
        <w:t>Bar.</w:t>
      </w:r>
      <w:proofErr w:type="gramEnd"/>
    </w:p>
    <w:p w:rsidR="004F681F" w:rsidRPr="004F681F" w:rsidRDefault="004F681F" w:rsidP="004F681F">
      <w:pPr>
        <w:pStyle w:val="ListParagraph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681F" w:rsidRPr="004F681F" w:rsidRDefault="004F681F" w:rsidP="004F681F">
      <w:pPr>
        <w:pStyle w:val="NoSpacing"/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 w:rsidRPr="004F681F">
        <w:rPr>
          <w:rFonts w:ascii="Arial" w:hAnsi="Arial" w:cs="Arial"/>
          <w:color w:val="FF0000"/>
          <w:sz w:val="24"/>
          <w:szCs w:val="24"/>
        </w:rPr>
        <w:t xml:space="preserve">Legal opinion was sought </w:t>
      </w:r>
      <w:r w:rsidR="00210340">
        <w:rPr>
          <w:rFonts w:ascii="Arial" w:hAnsi="Arial" w:cs="Arial"/>
          <w:color w:val="FF0000"/>
          <w:sz w:val="24"/>
          <w:szCs w:val="24"/>
        </w:rPr>
        <w:t>from the William Fo</w:t>
      </w:r>
      <w:r w:rsidR="0069685E">
        <w:rPr>
          <w:rFonts w:ascii="Arial" w:hAnsi="Arial" w:cs="Arial"/>
          <w:color w:val="FF0000"/>
          <w:sz w:val="24"/>
          <w:szCs w:val="24"/>
        </w:rPr>
        <w:t>r</w:t>
      </w:r>
      <w:r w:rsidR="00210340">
        <w:rPr>
          <w:rFonts w:ascii="Arial" w:hAnsi="Arial" w:cs="Arial"/>
          <w:color w:val="FF0000"/>
          <w:sz w:val="24"/>
          <w:szCs w:val="24"/>
        </w:rPr>
        <w:t>ster Chamber</w:t>
      </w:r>
      <w:r w:rsidR="0069685E">
        <w:rPr>
          <w:rFonts w:ascii="Arial" w:hAnsi="Arial" w:cs="Arial"/>
          <w:color w:val="FF0000"/>
          <w:sz w:val="24"/>
          <w:szCs w:val="24"/>
        </w:rPr>
        <w:t>s</w:t>
      </w:r>
      <w:r w:rsidR="00210340">
        <w:rPr>
          <w:rFonts w:ascii="Arial" w:hAnsi="Arial" w:cs="Arial"/>
          <w:color w:val="FF0000"/>
          <w:sz w:val="24"/>
          <w:szCs w:val="24"/>
        </w:rPr>
        <w:t xml:space="preserve"> in Darwin </w:t>
      </w:r>
      <w:r w:rsidRPr="004F681F">
        <w:rPr>
          <w:rFonts w:ascii="Arial" w:hAnsi="Arial" w:cs="Arial"/>
          <w:color w:val="FF0000"/>
          <w:sz w:val="24"/>
          <w:szCs w:val="24"/>
        </w:rPr>
        <w:t>to advise the Department as to the scope of the Ombudsman’s investigative powers and compliance with the same.</w:t>
      </w:r>
      <w:r w:rsidR="00210340">
        <w:rPr>
          <w:rFonts w:ascii="Arial" w:hAnsi="Arial" w:cs="Arial"/>
          <w:color w:val="FF0000"/>
          <w:sz w:val="24"/>
          <w:szCs w:val="24"/>
        </w:rPr>
        <w:t xml:space="preserve"> Legal advice was not provided from counsel in Victoria.</w:t>
      </w:r>
    </w:p>
    <w:p w:rsidR="004F681F" w:rsidRPr="004F681F" w:rsidRDefault="004F681F" w:rsidP="004F681F">
      <w:pPr>
        <w:pStyle w:val="ListParagraph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681F" w:rsidRDefault="004F681F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4F314D" w:rsidRPr="004F681F" w:rsidRDefault="004F314D" w:rsidP="004F681F">
      <w:pPr>
        <w:pStyle w:val="ListParagraph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4F681F">
        <w:rPr>
          <w:rFonts w:ascii="Arial" w:hAnsi="Arial" w:cs="Arial"/>
          <w:sz w:val="24"/>
          <w:szCs w:val="24"/>
        </w:rPr>
        <w:lastRenderedPageBreak/>
        <w:t>6.</w:t>
      </w:r>
      <w:r w:rsidRPr="004F681F">
        <w:rPr>
          <w:rFonts w:ascii="Arial" w:hAnsi="Arial" w:cs="Arial"/>
          <w:sz w:val="24"/>
          <w:szCs w:val="24"/>
        </w:rPr>
        <w:tab/>
        <w:t xml:space="preserve">Were the staff directed to be accompanied by the </w:t>
      </w:r>
      <w:proofErr w:type="gramStart"/>
      <w:r w:rsidRPr="004F681F">
        <w:rPr>
          <w:rFonts w:ascii="Arial" w:hAnsi="Arial" w:cs="Arial"/>
          <w:sz w:val="24"/>
          <w:szCs w:val="24"/>
        </w:rPr>
        <w:t>Barrister.</w:t>
      </w:r>
      <w:proofErr w:type="gramEnd"/>
    </w:p>
    <w:p w:rsidR="004F681F" w:rsidRPr="004F681F" w:rsidRDefault="004F681F" w:rsidP="004F681F">
      <w:pPr>
        <w:pStyle w:val="ListParagraph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681F" w:rsidRPr="004F681F" w:rsidRDefault="004F681F" w:rsidP="004F68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  <w:r w:rsidRPr="004F681F">
        <w:rPr>
          <w:rFonts w:ascii="Arial" w:hAnsi="Arial" w:cs="Arial"/>
          <w:color w:val="FF0000"/>
        </w:rPr>
        <w:t xml:space="preserve">Departmental </w:t>
      </w:r>
      <w:proofErr w:type="gramStart"/>
      <w:r w:rsidRPr="004F681F">
        <w:rPr>
          <w:rFonts w:ascii="Arial" w:hAnsi="Arial" w:cs="Arial"/>
          <w:color w:val="FF0000"/>
        </w:rPr>
        <w:t>staff were</w:t>
      </w:r>
      <w:proofErr w:type="gramEnd"/>
      <w:r w:rsidRPr="004F681F">
        <w:rPr>
          <w:rFonts w:ascii="Arial" w:hAnsi="Arial" w:cs="Arial"/>
          <w:color w:val="FF0000"/>
        </w:rPr>
        <w:t xml:space="preserve"> not directed to be accompanied by a barrister.</w:t>
      </w:r>
    </w:p>
    <w:p w:rsidR="004F681F" w:rsidRPr="004F681F" w:rsidRDefault="004F681F" w:rsidP="004F681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4F314D" w:rsidRPr="004F681F" w:rsidRDefault="004F314D" w:rsidP="004F681F">
      <w:pPr>
        <w:pStyle w:val="ListParagraph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314D" w:rsidRPr="004F681F" w:rsidRDefault="004F314D" w:rsidP="004F681F">
      <w:pPr>
        <w:pStyle w:val="ListParagraph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4F681F">
        <w:rPr>
          <w:rFonts w:ascii="Arial" w:hAnsi="Arial" w:cs="Arial"/>
          <w:sz w:val="24"/>
          <w:szCs w:val="24"/>
        </w:rPr>
        <w:t>7.</w:t>
      </w:r>
      <w:r w:rsidRPr="004F681F">
        <w:rPr>
          <w:rFonts w:ascii="Arial" w:hAnsi="Arial" w:cs="Arial"/>
          <w:sz w:val="24"/>
          <w:szCs w:val="24"/>
        </w:rPr>
        <w:tab/>
        <w:t>Did the staff or the Department pay for the Barrister’s services.</w:t>
      </w:r>
    </w:p>
    <w:p w:rsidR="004F681F" w:rsidRPr="004F681F" w:rsidRDefault="004F681F" w:rsidP="004F681F">
      <w:pPr>
        <w:pStyle w:val="ListParagraph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681F" w:rsidRPr="004F681F" w:rsidRDefault="004F681F" w:rsidP="00484BC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FF0000"/>
        </w:rPr>
      </w:pPr>
      <w:r w:rsidRPr="004F681F">
        <w:rPr>
          <w:rFonts w:ascii="Arial" w:hAnsi="Arial" w:cs="Arial"/>
          <w:color w:val="FF0000"/>
        </w:rPr>
        <w:t xml:space="preserve">The Department </w:t>
      </w:r>
      <w:r w:rsidR="00484BC8">
        <w:rPr>
          <w:rFonts w:ascii="Arial" w:hAnsi="Arial" w:cs="Arial"/>
          <w:color w:val="FF0000"/>
        </w:rPr>
        <w:t>paid for the legal support of staff as it would to support any Departmental staff due to their employment requiring them to be called to appear before a hearing or in court such as a Coroner’s court.</w:t>
      </w:r>
    </w:p>
    <w:p w:rsidR="004F681F" w:rsidRPr="004F681F" w:rsidRDefault="004F681F" w:rsidP="004F681F">
      <w:pPr>
        <w:pStyle w:val="ListParagraph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314D" w:rsidRPr="004F681F" w:rsidRDefault="004F314D" w:rsidP="004F681F">
      <w:pPr>
        <w:pStyle w:val="ListParagraph"/>
        <w:ind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4F681F">
        <w:rPr>
          <w:rFonts w:ascii="Arial" w:hAnsi="Arial" w:cs="Arial"/>
          <w:sz w:val="24"/>
          <w:szCs w:val="24"/>
        </w:rPr>
        <w:t>8.</w:t>
      </w:r>
      <w:r w:rsidRPr="004F681F">
        <w:rPr>
          <w:rFonts w:ascii="Arial" w:hAnsi="Arial" w:cs="Arial"/>
          <w:sz w:val="24"/>
          <w:szCs w:val="24"/>
        </w:rPr>
        <w:tab/>
        <w:t xml:space="preserve">What was the hourly rate for the Barrister to accompany staff </w:t>
      </w:r>
      <w:proofErr w:type="gramStart"/>
      <w:r w:rsidRPr="004F681F">
        <w:rPr>
          <w:rFonts w:ascii="Arial" w:hAnsi="Arial" w:cs="Arial"/>
          <w:sz w:val="24"/>
          <w:szCs w:val="24"/>
        </w:rPr>
        <w:t>members.</w:t>
      </w:r>
      <w:proofErr w:type="gramEnd"/>
    </w:p>
    <w:p w:rsidR="004F681F" w:rsidRPr="004F681F" w:rsidRDefault="004F681F" w:rsidP="004F681F">
      <w:pPr>
        <w:pStyle w:val="ListParagraph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681F" w:rsidRPr="004F681F" w:rsidRDefault="004F681F" w:rsidP="004F681F">
      <w:pPr>
        <w:pStyle w:val="NoSpacing"/>
        <w:ind w:left="720"/>
        <w:jc w:val="both"/>
        <w:rPr>
          <w:rFonts w:ascii="Arial" w:hAnsi="Arial" w:cs="Arial"/>
          <w:color w:val="FF0000"/>
          <w:sz w:val="24"/>
          <w:szCs w:val="24"/>
          <w:lang w:eastAsia="en-AU"/>
        </w:rPr>
      </w:pPr>
      <w:r w:rsidRPr="004F681F">
        <w:rPr>
          <w:rFonts w:ascii="Arial" w:hAnsi="Arial" w:cs="Arial"/>
          <w:color w:val="FF0000"/>
          <w:sz w:val="24"/>
          <w:szCs w:val="24"/>
          <w:lang w:eastAsia="en-AU"/>
        </w:rPr>
        <w:t xml:space="preserve">The hourly rate for legal services provided by </w:t>
      </w:r>
      <w:r w:rsidR="00484BC8">
        <w:rPr>
          <w:rFonts w:ascii="Arial" w:hAnsi="Arial" w:cs="Arial"/>
          <w:color w:val="FF0000"/>
          <w:sz w:val="24"/>
          <w:szCs w:val="24"/>
          <w:lang w:eastAsia="en-AU"/>
        </w:rPr>
        <w:t xml:space="preserve">the </w:t>
      </w:r>
      <w:r w:rsidR="004F0220">
        <w:rPr>
          <w:rFonts w:ascii="Arial" w:hAnsi="Arial" w:cs="Arial"/>
          <w:color w:val="FF0000"/>
          <w:sz w:val="24"/>
          <w:szCs w:val="24"/>
          <w:lang w:eastAsia="en-AU"/>
        </w:rPr>
        <w:t>William Fo</w:t>
      </w:r>
      <w:r w:rsidR="00A149B0">
        <w:rPr>
          <w:rFonts w:ascii="Arial" w:hAnsi="Arial" w:cs="Arial"/>
          <w:color w:val="FF0000"/>
          <w:sz w:val="24"/>
          <w:szCs w:val="24"/>
          <w:lang w:eastAsia="en-AU"/>
        </w:rPr>
        <w:t>r</w:t>
      </w:r>
      <w:r w:rsidR="004F0220">
        <w:rPr>
          <w:rFonts w:ascii="Arial" w:hAnsi="Arial" w:cs="Arial"/>
          <w:color w:val="FF0000"/>
          <w:sz w:val="24"/>
          <w:szCs w:val="24"/>
          <w:lang w:eastAsia="en-AU"/>
        </w:rPr>
        <w:t>ster Chamber</w:t>
      </w:r>
      <w:r w:rsidR="00A149B0">
        <w:rPr>
          <w:rFonts w:ascii="Arial" w:hAnsi="Arial" w:cs="Arial"/>
          <w:color w:val="FF0000"/>
          <w:sz w:val="24"/>
          <w:szCs w:val="24"/>
          <w:lang w:eastAsia="en-AU"/>
        </w:rPr>
        <w:t>s</w:t>
      </w:r>
      <w:r w:rsidR="004F0220">
        <w:rPr>
          <w:rFonts w:ascii="Arial" w:hAnsi="Arial" w:cs="Arial"/>
          <w:color w:val="FF0000"/>
          <w:sz w:val="24"/>
          <w:szCs w:val="24"/>
          <w:lang w:eastAsia="en-AU"/>
        </w:rPr>
        <w:t xml:space="preserve"> was $280 and the </w:t>
      </w:r>
      <w:r w:rsidR="004F0220" w:rsidRPr="004F681F">
        <w:rPr>
          <w:rFonts w:ascii="Arial" w:hAnsi="Arial" w:cs="Arial"/>
          <w:color w:val="FF0000"/>
          <w:sz w:val="24"/>
          <w:szCs w:val="24"/>
          <w:lang w:eastAsia="en-AU"/>
        </w:rPr>
        <w:t xml:space="preserve">hourly rate for legal services provided by </w:t>
      </w:r>
      <w:r w:rsidR="004F0220">
        <w:rPr>
          <w:rFonts w:ascii="Arial" w:hAnsi="Arial" w:cs="Arial"/>
          <w:color w:val="FF0000"/>
          <w:sz w:val="24"/>
          <w:szCs w:val="24"/>
          <w:lang w:eastAsia="en-AU"/>
        </w:rPr>
        <w:t>the Edmond Barton Chamber</w:t>
      </w:r>
      <w:r w:rsidR="00A149B0">
        <w:rPr>
          <w:rFonts w:ascii="Arial" w:hAnsi="Arial" w:cs="Arial"/>
          <w:color w:val="FF0000"/>
          <w:sz w:val="24"/>
          <w:szCs w:val="24"/>
          <w:lang w:eastAsia="en-AU"/>
        </w:rPr>
        <w:t>s</w:t>
      </w:r>
      <w:r w:rsidR="004F0220">
        <w:rPr>
          <w:rFonts w:ascii="Arial" w:hAnsi="Arial" w:cs="Arial"/>
          <w:color w:val="FF0000"/>
          <w:sz w:val="24"/>
          <w:szCs w:val="24"/>
          <w:lang w:eastAsia="en-AU"/>
        </w:rPr>
        <w:t xml:space="preserve"> was $320.</w:t>
      </w:r>
    </w:p>
    <w:p w:rsidR="004F681F" w:rsidRPr="004F681F" w:rsidRDefault="004F681F" w:rsidP="004F681F">
      <w:pPr>
        <w:pStyle w:val="ListParagraph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314D" w:rsidRPr="004F681F" w:rsidRDefault="004F314D" w:rsidP="004F681F">
      <w:pPr>
        <w:pStyle w:val="ListParagraph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4F681F">
        <w:rPr>
          <w:rFonts w:ascii="Arial" w:hAnsi="Arial" w:cs="Arial"/>
          <w:sz w:val="24"/>
          <w:szCs w:val="24"/>
        </w:rPr>
        <w:t>9.</w:t>
      </w:r>
      <w:r w:rsidRPr="004F681F">
        <w:rPr>
          <w:rFonts w:ascii="Arial" w:hAnsi="Arial" w:cs="Arial"/>
          <w:sz w:val="24"/>
          <w:szCs w:val="24"/>
        </w:rPr>
        <w:tab/>
        <w:t xml:space="preserve">How many staff </w:t>
      </w:r>
      <w:proofErr w:type="gramStart"/>
      <w:r w:rsidRPr="004F681F">
        <w:rPr>
          <w:rFonts w:ascii="Arial" w:hAnsi="Arial" w:cs="Arial"/>
          <w:sz w:val="24"/>
          <w:szCs w:val="24"/>
        </w:rPr>
        <w:t>were</w:t>
      </w:r>
      <w:proofErr w:type="gramEnd"/>
      <w:r w:rsidRPr="004F681F">
        <w:rPr>
          <w:rFonts w:ascii="Arial" w:hAnsi="Arial" w:cs="Arial"/>
          <w:sz w:val="24"/>
          <w:szCs w:val="24"/>
        </w:rPr>
        <w:t xml:space="preserve"> accompanied to interviews by the Barrister.</w:t>
      </w:r>
    </w:p>
    <w:p w:rsidR="004F681F" w:rsidRPr="004F681F" w:rsidRDefault="004F681F" w:rsidP="004F681F">
      <w:pPr>
        <w:pStyle w:val="ListParagraph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681F" w:rsidRPr="004F681F" w:rsidRDefault="004F681F" w:rsidP="004F681F">
      <w:pPr>
        <w:pStyle w:val="NoSpacing"/>
        <w:ind w:left="720"/>
        <w:jc w:val="both"/>
        <w:rPr>
          <w:rFonts w:ascii="Arial" w:hAnsi="Arial" w:cs="Arial"/>
          <w:color w:val="FF0000"/>
          <w:sz w:val="24"/>
          <w:szCs w:val="24"/>
          <w:lang w:eastAsia="en-AU"/>
        </w:rPr>
      </w:pPr>
      <w:r w:rsidRPr="004F681F">
        <w:rPr>
          <w:rFonts w:ascii="Arial" w:hAnsi="Arial" w:cs="Arial"/>
          <w:color w:val="FF0000"/>
          <w:sz w:val="24"/>
          <w:szCs w:val="24"/>
          <w:lang w:eastAsia="en-AU"/>
        </w:rPr>
        <w:t xml:space="preserve">Three Departmental staff </w:t>
      </w:r>
      <w:proofErr w:type="gramStart"/>
      <w:r w:rsidRPr="004F681F">
        <w:rPr>
          <w:rFonts w:ascii="Arial" w:hAnsi="Arial" w:cs="Arial"/>
          <w:color w:val="FF0000"/>
          <w:sz w:val="24"/>
          <w:szCs w:val="24"/>
          <w:lang w:eastAsia="en-AU"/>
        </w:rPr>
        <w:t>were</w:t>
      </w:r>
      <w:proofErr w:type="gramEnd"/>
      <w:r w:rsidRPr="004F681F">
        <w:rPr>
          <w:rFonts w:ascii="Arial" w:hAnsi="Arial" w:cs="Arial"/>
          <w:color w:val="FF0000"/>
          <w:sz w:val="24"/>
          <w:szCs w:val="24"/>
          <w:lang w:eastAsia="en-AU"/>
        </w:rPr>
        <w:t xml:space="preserve"> accompanied to interviews by the barristers.</w:t>
      </w:r>
    </w:p>
    <w:p w:rsidR="004F681F" w:rsidRPr="004F681F" w:rsidRDefault="004F681F" w:rsidP="004F681F">
      <w:pPr>
        <w:pStyle w:val="ListParagraph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314D" w:rsidRPr="004F681F" w:rsidRDefault="004F314D" w:rsidP="004F681F">
      <w:pPr>
        <w:pStyle w:val="ListParagraph"/>
        <w:ind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4F681F">
        <w:rPr>
          <w:rFonts w:ascii="Arial" w:hAnsi="Arial" w:cs="Arial"/>
          <w:sz w:val="24"/>
          <w:szCs w:val="24"/>
        </w:rPr>
        <w:t>10.</w:t>
      </w:r>
      <w:r w:rsidRPr="004F681F">
        <w:rPr>
          <w:rFonts w:ascii="Arial" w:hAnsi="Arial" w:cs="Arial"/>
          <w:sz w:val="24"/>
          <w:szCs w:val="24"/>
        </w:rPr>
        <w:tab/>
        <w:t xml:space="preserve">What was the total cost for engaging the </w:t>
      </w:r>
      <w:proofErr w:type="gramStart"/>
      <w:r w:rsidRPr="004F681F">
        <w:rPr>
          <w:rFonts w:ascii="Arial" w:hAnsi="Arial" w:cs="Arial"/>
          <w:sz w:val="24"/>
          <w:szCs w:val="24"/>
        </w:rPr>
        <w:t>Barrister.</w:t>
      </w:r>
      <w:proofErr w:type="gramEnd"/>
      <w:r w:rsidRPr="004F681F">
        <w:rPr>
          <w:rFonts w:ascii="Arial" w:hAnsi="Arial" w:cs="Arial"/>
          <w:sz w:val="24"/>
          <w:szCs w:val="24"/>
        </w:rPr>
        <w:t xml:space="preserve"> – Break down by flights, accommodation and legal services. </w:t>
      </w:r>
    </w:p>
    <w:p w:rsidR="004F681F" w:rsidRPr="004F681F" w:rsidRDefault="004F681F" w:rsidP="004F681F">
      <w:pPr>
        <w:pStyle w:val="ListParagraph"/>
        <w:ind w:hanging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681F" w:rsidRPr="004F681F" w:rsidRDefault="004F681F" w:rsidP="004F681F">
      <w:pPr>
        <w:pStyle w:val="NoSpacing"/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 w:rsidRPr="004F681F">
        <w:rPr>
          <w:rFonts w:ascii="Arial" w:hAnsi="Arial" w:cs="Arial"/>
          <w:color w:val="FF0000"/>
          <w:sz w:val="24"/>
          <w:szCs w:val="24"/>
        </w:rPr>
        <w:t>The total cost for engaging both barristers’ legal services was $14,828.  There were no costs in relat</w:t>
      </w:r>
      <w:r w:rsidR="00484BC8">
        <w:rPr>
          <w:rFonts w:ascii="Arial" w:hAnsi="Arial" w:cs="Arial"/>
          <w:color w:val="FF0000"/>
          <w:sz w:val="24"/>
          <w:szCs w:val="24"/>
        </w:rPr>
        <w:t>ion to flights or accommodation.</w:t>
      </w:r>
    </w:p>
    <w:p w:rsidR="004F314D" w:rsidRPr="004F681F" w:rsidRDefault="004F314D" w:rsidP="004F681F">
      <w:pPr>
        <w:pStyle w:val="ListParagraph"/>
        <w:ind w:hanging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314D" w:rsidRPr="004F681F" w:rsidRDefault="004F314D" w:rsidP="004F681F">
      <w:pPr>
        <w:pStyle w:val="ListParagraph"/>
        <w:ind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4F681F">
        <w:rPr>
          <w:rFonts w:ascii="Arial" w:hAnsi="Arial" w:cs="Arial"/>
          <w:sz w:val="24"/>
          <w:szCs w:val="24"/>
        </w:rPr>
        <w:t>11.</w:t>
      </w:r>
      <w:r w:rsidRPr="004F681F">
        <w:rPr>
          <w:rFonts w:ascii="Arial" w:hAnsi="Arial" w:cs="Arial"/>
          <w:sz w:val="24"/>
          <w:szCs w:val="24"/>
        </w:rPr>
        <w:tab/>
        <w:t>Referring to Item 31: Reviews of Services contained in the 2011 Estimates obtained through Freedom of Information:-</w:t>
      </w:r>
    </w:p>
    <w:p w:rsidR="004F314D" w:rsidRPr="004F681F" w:rsidRDefault="004F314D" w:rsidP="004F681F">
      <w:pPr>
        <w:pStyle w:val="ListParagraph"/>
        <w:ind w:hanging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314D" w:rsidRPr="004F681F" w:rsidRDefault="004F314D" w:rsidP="004F681F">
      <w:pPr>
        <w:pStyle w:val="ListParagraph"/>
        <w:numPr>
          <w:ilvl w:val="0"/>
          <w:numId w:val="30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4F681F">
        <w:rPr>
          <w:rFonts w:ascii="Arial" w:hAnsi="Arial" w:cs="Arial"/>
          <w:sz w:val="24"/>
          <w:szCs w:val="24"/>
        </w:rPr>
        <w:t>When was the Evaluation of Youth Camps completed and if not completed, when will it be completed and further, who undertook the review and what was the cost;</w:t>
      </w:r>
    </w:p>
    <w:p w:rsidR="004F681F" w:rsidRPr="004F681F" w:rsidRDefault="004F681F" w:rsidP="004F681F">
      <w:pPr>
        <w:ind w:left="1080"/>
        <w:jc w:val="both"/>
        <w:rPr>
          <w:rFonts w:ascii="Arial" w:hAnsi="Arial" w:cs="Arial"/>
        </w:rPr>
      </w:pPr>
    </w:p>
    <w:p w:rsidR="004F681F" w:rsidRPr="004F681F" w:rsidRDefault="004F681F" w:rsidP="004F681F">
      <w:pPr>
        <w:ind w:left="1080"/>
        <w:jc w:val="both"/>
        <w:rPr>
          <w:rFonts w:ascii="Arial" w:hAnsi="Arial" w:cs="Arial"/>
          <w:color w:val="FF0000"/>
        </w:rPr>
      </w:pPr>
      <w:r w:rsidRPr="004F681F">
        <w:rPr>
          <w:rFonts w:ascii="Arial" w:hAnsi="Arial" w:cs="Arial"/>
          <w:color w:val="FF0000"/>
        </w:rPr>
        <w:t xml:space="preserve">The Evaluation of the Youth Camp Program was commissioned in June 2010 and completed in January 2011. </w:t>
      </w:r>
    </w:p>
    <w:p w:rsidR="004F681F" w:rsidRPr="004F681F" w:rsidRDefault="004F681F" w:rsidP="004F681F">
      <w:pPr>
        <w:jc w:val="both"/>
        <w:rPr>
          <w:rFonts w:ascii="Arial" w:hAnsi="Arial" w:cs="Arial"/>
          <w:color w:val="FF0000"/>
        </w:rPr>
      </w:pPr>
    </w:p>
    <w:p w:rsidR="004F681F" w:rsidRPr="004F681F" w:rsidRDefault="004F681F" w:rsidP="004F681F">
      <w:pPr>
        <w:ind w:left="1080"/>
        <w:jc w:val="both"/>
        <w:rPr>
          <w:rFonts w:ascii="Arial" w:hAnsi="Arial" w:cs="Arial"/>
          <w:color w:val="FF0000"/>
        </w:rPr>
      </w:pPr>
      <w:r w:rsidRPr="004F681F">
        <w:rPr>
          <w:rFonts w:ascii="Arial" w:hAnsi="Arial" w:cs="Arial"/>
          <w:color w:val="FF0000"/>
        </w:rPr>
        <w:t xml:space="preserve">It was conducted by </w:t>
      </w:r>
      <w:proofErr w:type="spellStart"/>
      <w:r w:rsidRPr="004F681F">
        <w:rPr>
          <w:rFonts w:ascii="Arial" w:hAnsi="Arial" w:cs="Arial"/>
          <w:i/>
          <w:iCs/>
          <w:color w:val="FF0000"/>
        </w:rPr>
        <w:t>ConnectedSelf</w:t>
      </w:r>
      <w:proofErr w:type="spellEnd"/>
      <w:r w:rsidRPr="004F681F">
        <w:rPr>
          <w:rFonts w:ascii="Arial" w:hAnsi="Arial" w:cs="Arial"/>
          <w:color w:val="FF0000"/>
        </w:rPr>
        <w:t xml:space="preserve">, a </w:t>
      </w:r>
      <w:r w:rsidR="00484BC8">
        <w:rPr>
          <w:rFonts w:ascii="Arial" w:hAnsi="Arial" w:cs="Arial"/>
          <w:color w:val="FF0000"/>
        </w:rPr>
        <w:t>consulting group</w:t>
      </w:r>
      <w:r w:rsidRPr="004F681F">
        <w:rPr>
          <w:rFonts w:ascii="Arial" w:hAnsi="Arial" w:cs="Arial"/>
          <w:color w:val="FF0000"/>
        </w:rPr>
        <w:t xml:space="preserve"> with expertise in programming relating to youth justice, child protection and clinical psychology.</w:t>
      </w:r>
    </w:p>
    <w:p w:rsidR="004F681F" w:rsidRPr="004F681F" w:rsidRDefault="004F681F" w:rsidP="004F681F">
      <w:pPr>
        <w:jc w:val="both"/>
        <w:rPr>
          <w:rFonts w:ascii="Arial" w:hAnsi="Arial" w:cs="Arial"/>
          <w:color w:val="FF0000"/>
        </w:rPr>
      </w:pPr>
    </w:p>
    <w:p w:rsidR="004F681F" w:rsidRPr="004F681F" w:rsidRDefault="004F681F" w:rsidP="004F681F">
      <w:pPr>
        <w:ind w:left="360" w:firstLine="720"/>
        <w:jc w:val="both"/>
        <w:rPr>
          <w:rFonts w:ascii="Arial" w:hAnsi="Arial" w:cs="Arial"/>
          <w:color w:val="FF0000"/>
        </w:rPr>
      </w:pPr>
      <w:r w:rsidRPr="004F681F">
        <w:rPr>
          <w:rFonts w:ascii="Arial" w:hAnsi="Arial" w:cs="Arial"/>
          <w:color w:val="FF0000"/>
        </w:rPr>
        <w:t>The consultancy cost $97,000.</w:t>
      </w:r>
    </w:p>
    <w:p w:rsidR="004F681F" w:rsidRPr="004F681F" w:rsidRDefault="004F681F" w:rsidP="004F681F">
      <w:pPr>
        <w:ind w:left="1080"/>
        <w:jc w:val="both"/>
        <w:rPr>
          <w:rFonts w:ascii="Arial" w:hAnsi="Arial" w:cs="Arial"/>
        </w:rPr>
      </w:pPr>
    </w:p>
    <w:p w:rsidR="004F314D" w:rsidRPr="004F681F" w:rsidRDefault="004F314D" w:rsidP="004F681F">
      <w:pPr>
        <w:pStyle w:val="ListParagraph"/>
        <w:numPr>
          <w:ilvl w:val="0"/>
          <w:numId w:val="30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4F681F">
        <w:rPr>
          <w:rFonts w:ascii="Arial" w:hAnsi="Arial" w:cs="Arial"/>
          <w:sz w:val="24"/>
          <w:szCs w:val="24"/>
        </w:rPr>
        <w:t>Has the Review of the Interim organization structure of the Department of Children and Families by Mercer been completed;</w:t>
      </w:r>
    </w:p>
    <w:p w:rsidR="004F681F" w:rsidRDefault="004F681F" w:rsidP="004F681F">
      <w:pPr>
        <w:pStyle w:val="NoSpacing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4F681F" w:rsidRDefault="004F681F" w:rsidP="004F681F">
      <w:pPr>
        <w:pStyle w:val="NoSpacing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4F681F">
        <w:rPr>
          <w:rFonts w:ascii="Arial" w:hAnsi="Arial" w:cs="Arial"/>
          <w:color w:val="FF0000"/>
          <w:sz w:val="24"/>
          <w:szCs w:val="24"/>
        </w:rPr>
        <w:t>Yes</w:t>
      </w:r>
    </w:p>
    <w:p w:rsidR="00484BC8" w:rsidRPr="004F681F" w:rsidRDefault="00484BC8" w:rsidP="004F681F">
      <w:pPr>
        <w:pStyle w:val="NoSpacing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4F314D" w:rsidRPr="004F681F" w:rsidRDefault="004F314D" w:rsidP="004F681F">
      <w:pPr>
        <w:pStyle w:val="ListParagraph"/>
        <w:numPr>
          <w:ilvl w:val="0"/>
          <w:numId w:val="30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4F681F">
        <w:rPr>
          <w:rFonts w:ascii="Arial" w:hAnsi="Arial" w:cs="Arial"/>
          <w:sz w:val="24"/>
          <w:szCs w:val="24"/>
        </w:rPr>
        <w:lastRenderedPageBreak/>
        <w:t>When was the Evaluation of mandatory reporting legislation completed and if not completed, when will it be completed;</w:t>
      </w:r>
    </w:p>
    <w:p w:rsidR="004F681F" w:rsidRPr="004F681F" w:rsidRDefault="004F681F" w:rsidP="004F681F">
      <w:pPr>
        <w:jc w:val="both"/>
        <w:rPr>
          <w:rFonts w:ascii="Arial" w:hAnsi="Arial" w:cs="Arial"/>
        </w:rPr>
      </w:pPr>
    </w:p>
    <w:p w:rsidR="004F681F" w:rsidRPr="004F681F" w:rsidRDefault="004F681F" w:rsidP="004F681F">
      <w:pPr>
        <w:pStyle w:val="NoSpacing"/>
        <w:ind w:left="108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F681F">
        <w:rPr>
          <w:rFonts w:ascii="Arial" w:eastAsia="MS Mincho" w:hAnsi="Arial" w:cs="Arial"/>
          <w:color w:val="FF0000"/>
          <w:sz w:val="24"/>
          <w:szCs w:val="24"/>
          <w:lang w:eastAsia="ja-JP"/>
        </w:rPr>
        <w:t>Evaluation of the impact of domestic/family violence mandatory reporting is underway.  It is anticipated that this will be completed by mid January 2012.</w:t>
      </w:r>
    </w:p>
    <w:p w:rsidR="004F314D" w:rsidRPr="004F681F" w:rsidRDefault="004F314D" w:rsidP="004F681F">
      <w:pPr>
        <w:pStyle w:val="ListParagraph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314D" w:rsidRPr="004F681F" w:rsidRDefault="004F314D" w:rsidP="004F681F">
      <w:pPr>
        <w:pStyle w:val="ListParagraph"/>
        <w:numPr>
          <w:ilvl w:val="0"/>
          <w:numId w:val="30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4F681F">
        <w:rPr>
          <w:rFonts w:ascii="Arial" w:hAnsi="Arial" w:cs="Arial"/>
          <w:sz w:val="24"/>
          <w:szCs w:val="24"/>
        </w:rPr>
        <w:t>When was the Evaluation of the Family Support Package completed, and if not completed, when will it be completed and further, who undertook the review and what was the cost;</w:t>
      </w:r>
    </w:p>
    <w:p w:rsidR="004F681F" w:rsidRPr="004F681F" w:rsidRDefault="004F681F" w:rsidP="004F681F">
      <w:pPr>
        <w:pStyle w:val="NoSpacing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4F681F" w:rsidRPr="004F681F" w:rsidRDefault="004F681F" w:rsidP="004F681F">
      <w:pPr>
        <w:pStyle w:val="NoSpacing"/>
        <w:ind w:left="108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F681F">
        <w:rPr>
          <w:rFonts w:ascii="Arial" w:hAnsi="Arial" w:cs="Arial"/>
          <w:color w:val="FF0000"/>
          <w:sz w:val="24"/>
          <w:szCs w:val="24"/>
        </w:rPr>
        <w:t xml:space="preserve">The evaluation will be finalised by 30 Sept 2011 at a cost of $198,440. The evaluation was undertaken by </w:t>
      </w:r>
      <w:proofErr w:type="spellStart"/>
      <w:r w:rsidRPr="004F681F">
        <w:rPr>
          <w:rFonts w:ascii="Arial" w:hAnsi="Arial" w:cs="Arial"/>
          <w:color w:val="FF0000"/>
          <w:sz w:val="24"/>
          <w:szCs w:val="24"/>
        </w:rPr>
        <w:t>Batchelor</w:t>
      </w:r>
      <w:proofErr w:type="spellEnd"/>
      <w:r w:rsidRPr="004F681F">
        <w:rPr>
          <w:rFonts w:ascii="Arial" w:hAnsi="Arial" w:cs="Arial"/>
          <w:color w:val="FF0000"/>
          <w:sz w:val="24"/>
          <w:szCs w:val="24"/>
        </w:rPr>
        <w:t xml:space="preserve"> Institute.</w:t>
      </w:r>
    </w:p>
    <w:p w:rsidR="004F681F" w:rsidRPr="004F681F" w:rsidRDefault="004F681F" w:rsidP="004F681F">
      <w:pPr>
        <w:jc w:val="both"/>
        <w:rPr>
          <w:rFonts w:ascii="Arial" w:hAnsi="Arial" w:cs="Arial"/>
        </w:rPr>
      </w:pPr>
    </w:p>
    <w:p w:rsidR="004F314D" w:rsidRPr="004F681F" w:rsidRDefault="004F314D" w:rsidP="004F681F">
      <w:pPr>
        <w:pStyle w:val="ListParagraph"/>
        <w:numPr>
          <w:ilvl w:val="0"/>
          <w:numId w:val="30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4F681F">
        <w:rPr>
          <w:rFonts w:ascii="Arial" w:hAnsi="Arial" w:cs="Arial"/>
          <w:sz w:val="24"/>
          <w:szCs w:val="24"/>
        </w:rPr>
        <w:t>When was the Review of Out of Home services completed, and if not completed, when will it be completed; and</w:t>
      </w:r>
    </w:p>
    <w:p w:rsidR="004F681F" w:rsidRPr="004F681F" w:rsidRDefault="004F681F" w:rsidP="004F681F">
      <w:pPr>
        <w:jc w:val="both"/>
        <w:rPr>
          <w:rFonts w:ascii="Arial" w:hAnsi="Arial" w:cs="Arial"/>
        </w:rPr>
      </w:pPr>
    </w:p>
    <w:p w:rsidR="004F681F" w:rsidRPr="004F681F" w:rsidRDefault="004F681F" w:rsidP="004F681F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FF0000"/>
        </w:rPr>
      </w:pPr>
      <w:r w:rsidRPr="004F681F">
        <w:rPr>
          <w:rFonts w:ascii="Arial" w:hAnsi="Arial" w:cs="Arial"/>
          <w:color w:val="FF0000"/>
        </w:rPr>
        <w:t xml:space="preserve">This review is underway. It is anticipated that the review will be complete by 30 June 2012. </w:t>
      </w:r>
    </w:p>
    <w:p w:rsidR="004F314D" w:rsidRPr="004F681F" w:rsidRDefault="004F314D" w:rsidP="004F681F">
      <w:pPr>
        <w:pStyle w:val="ListParagraph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F314D" w:rsidRPr="004F681F" w:rsidRDefault="004F314D" w:rsidP="004F681F">
      <w:pPr>
        <w:pStyle w:val="ListParagraph"/>
        <w:numPr>
          <w:ilvl w:val="0"/>
          <w:numId w:val="30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4F681F">
        <w:rPr>
          <w:rFonts w:ascii="Arial" w:hAnsi="Arial" w:cs="Arial"/>
          <w:sz w:val="24"/>
          <w:szCs w:val="24"/>
        </w:rPr>
        <w:t xml:space="preserve">When </w:t>
      </w:r>
      <w:proofErr w:type="gramStart"/>
      <w:r w:rsidRPr="004F681F">
        <w:rPr>
          <w:rFonts w:ascii="Arial" w:hAnsi="Arial" w:cs="Arial"/>
          <w:sz w:val="24"/>
          <w:szCs w:val="24"/>
        </w:rPr>
        <w:t>was the Review of the Child Protection Intake Service</w:t>
      </w:r>
      <w:proofErr w:type="gramEnd"/>
      <w:r w:rsidRPr="004F681F">
        <w:rPr>
          <w:rFonts w:ascii="Arial" w:hAnsi="Arial" w:cs="Arial"/>
          <w:sz w:val="24"/>
          <w:szCs w:val="24"/>
        </w:rPr>
        <w:t>, completed, and if not completed, when will it be completed and further, who undertook the review and what was the cost.</w:t>
      </w:r>
    </w:p>
    <w:p w:rsidR="004F681F" w:rsidRPr="004F681F" w:rsidRDefault="004F681F" w:rsidP="004F681F">
      <w:pPr>
        <w:pStyle w:val="ListParagraph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4F681F" w:rsidRPr="004F681F" w:rsidRDefault="004F681F" w:rsidP="004F681F">
      <w:pPr>
        <w:pStyle w:val="ListParagraph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4F681F">
        <w:rPr>
          <w:rFonts w:ascii="Arial" w:hAnsi="Arial" w:cs="Arial"/>
          <w:color w:val="FF0000"/>
          <w:sz w:val="24"/>
          <w:szCs w:val="24"/>
        </w:rPr>
        <w:t>In January 2011, Maureen Armstrong from the Department of Children and Families produced a review of the Intake Services. The cost to the Department for this work was approximately $14,000.</w:t>
      </w:r>
    </w:p>
    <w:p w:rsidR="008149DF" w:rsidRDefault="008149DF" w:rsidP="006D65BF">
      <w:pPr>
        <w:ind w:left="3600" w:right="567" w:hanging="3600"/>
        <w:jc w:val="center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sz w:val="28"/>
          <w:szCs w:val="28"/>
        </w:rPr>
        <w:t>___________________________</w:t>
      </w:r>
    </w:p>
    <w:p w:rsidR="004F681F" w:rsidRDefault="004F681F" w:rsidP="004F681F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681F" w:rsidRPr="00380402" w:rsidRDefault="004F681F" w:rsidP="004F681F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681F" w:rsidRDefault="004F681F" w:rsidP="004F681F">
      <w:pPr>
        <w:rPr>
          <w:rFonts w:ascii="Arial" w:hAnsi="Arial" w:cs="Arial"/>
          <w:color w:val="FF0000"/>
        </w:rPr>
      </w:pPr>
    </w:p>
    <w:p w:rsidR="004F681F" w:rsidRDefault="004F681F" w:rsidP="004F681F">
      <w:pPr>
        <w:rPr>
          <w:rFonts w:ascii="Arial" w:hAnsi="Arial" w:cs="Arial"/>
          <w:color w:val="FF0000"/>
        </w:rPr>
      </w:pPr>
    </w:p>
    <w:p w:rsidR="004F681F" w:rsidRPr="00380402" w:rsidRDefault="004F681F" w:rsidP="004F681F">
      <w:pPr>
        <w:rPr>
          <w:rFonts w:ascii="Arial" w:hAnsi="Arial" w:cs="Arial"/>
          <w:color w:val="FF0000"/>
        </w:rPr>
      </w:pPr>
      <w:r w:rsidRPr="00380402">
        <w:rPr>
          <w:rFonts w:ascii="Arial" w:hAnsi="Arial" w:cs="Arial"/>
          <w:color w:val="FF0000"/>
        </w:rPr>
        <w:t xml:space="preserve">  </w:t>
      </w:r>
    </w:p>
    <w:p w:rsidR="004F681F" w:rsidRPr="00365315" w:rsidRDefault="004F681F" w:rsidP="006D65BF">
      <w:pPr>
        <w:ind w:left="3600" w:right="567" w:hanging="3600"/>
        <w:jc w:val="center"/>
        <w:rPr>
          <w:rFonts w:ascii="Arial" w:hAnsi="Arial" w:cs="Arial"/>
          <w:sz w:val="28"/>
          <w:szCs w:val="28"/>
        </w:rPr>
      </w:pPr>
    </w:p>
    <w:sectPr w:rsidR="004F681F" w:rsidRPr="00365315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EF" w:rsidRDefault="00272DEF">
      <w:r>
        <w:separator/>
      </w:r>
    </w:p>
  </w:endnote>
  <w:endnote w:type="continuationSeparator" w:id="0">
    <w:p w:rsidR="00272DEF" w:rsidRDefault="0027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EF" w:rsidRDefault="00272DEF">
      <w:r>
        <w:separator/>
      </w:r>
    </w:p>
  </w:footnote>
  <w:footnote w:type="continuationSeparator" w:id="0">
    <w:p w:rsidR="00272DEF" w:rsidRDefault="00272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E4"/>
    <w:multiLevelType w:val="hybridMultilevel"/>
    <w:tmpl w:val="F90AA398"/>
    <w:lvl w:ilvl="0" w:tplc="73726CF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">
    <w:nsid w:val="06AF1371"/>
    <w:multiLevelType w:val="hybridMultilevel"/>
    <w:tmpl w:val="E13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CAC"/>
    <w:multiLevelType w:val="hybridMultilevel"/>
    <w:tmpl w:val="4090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21D2"/>
    <w:multiLevelType w:val="hybridMultilevel"/>
    <w:tmpl w:val="48E846C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44088"/>
    <w:multiLevelType w:val="hybridMultilevel"/>
    <w:tmpl w:val="3A98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509CD"/>
    <w:multiLevelType w:val="hybridMultilevel"/>
    <w:tmpl w:val="6D3284B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957335"/>
    <w:multiLevelType w:val="hybridMultilevel"/>
    <w:tmpl w:val="17A45A4C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0446BA"/>
    <w:multiLevelType w:val="hybridMultilevel"/>
    <w:tmpl w:val="4616297E"/>
    <w:lvl w:ilvl="0" w:tplc="1A28E3D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2A2CC2"/>
    <w:multiLevelType w:val="hybridMultilevel"/>
    <w:tmpl w:val="0DFA7CE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131355"/>
    <w:multiLevelType w:val="hybridMultilevel"/>
    <w:tmpl w:val="C79EB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73FBE"/>
    <w:multiLevelType w:val="hybridMultilevel"/>
    <w:tmpl w:val="601A64FE"/>
    <w:lvl w:ilvl="0" w:tplc="D05008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891C71"/>
    <w:multiLevelType w:val="hybridMultilevel"/>
    <w:tmpl w:val="437C4D4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395E9B"/>
    <w:multiLevelType w:val="hybridMultilevel"/>
    <w:tmpl w:val="620CE536"/>
    <w:lvl w:ilvl="0" w:tplc="54EC6F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F5720D8"/>
    <w:multiLevelType w:val="hybridMultilevel"/>
    <w:tmpl w:val="690EBB86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0425D58"/>
    <w:multiLevelType w:val="hybridMultilevel"/>
    <w:tmpl w:val="A4C474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54B5C"/>
    <w:multiLevelType w:val="hybridMultilevel"/>
    <w:tmpl w:val="B6BA803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81C2D3A"/>
    <w:multiLevelType w:val="hybridMultilevel"/>
    <w:tmpl w:val="7758E8BA"/>
    <w:lvl w:ilvl="0" w:tplc="09B263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E7783D"/>
    <w:multiLevelType w:val="hybridMultilevel"/>
    <w:tmpl w:val="011835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8F0683"/>
    <w:multiLevelType w:val="hybridMultilevel"/>
    <w:tmpl w:val="D340C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629F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BA2A6B"/>
    <w:multiLevelType w:val="hybridMultilevel"/>
    <w:tmpl w:val="A1E088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8832DE"/>
    <w:multiLevelType w:val="hybridMultilevel"/>
    <w:tmpl w:val="546886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60CE0EF3"/>
    <w:multiLevelType w:val="hybridMultilevel"/>
    <w:tmpl w:val="6A06C778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625B1449"/>
    <w:multiLevelType w:val="hybridMultilevel"/>
    <w:tmpl w:val="17FA536A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3B2792B"/>
    <w:multiLevelType w:val="hybridMultilevel"/>
    <w:tmpl w:val="4926C60A"/>
    <w:lvl w:ilvl="0" w:tplc="EB9A1484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2E2B87"/>
    <w:multiLevelType w:val="hybridMultilevel"/>
    <w:tmpl w:val="238C188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2C073EC"/>
    <w:multiLevelType w:val="hybridMultilevel"/>
    <w:tmpl w:val="55A074D0"/>
    <w:lvl w:ilvl="0" w:tplc="5D4C8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9E5128B"/>
    <w:multiLevelType w:val="hybridMultilevel"/>
    <w:tmpl w:val="4546F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3E6F69"/>
    <w:multiLevelType w:val="hybridMultilevel"/>
    <w:tmpl w:val="DB74946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ED50EBD"/>
    <w:multiLevelType w:val="hybridMultilevel"/>
    <w:tmpl w:val="DB2A94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11"/>
  </w:num>
  <w:num w:numId="5">
    <w:abstractNumId w:val="19"/>
  </w:num>
  <w:num w:numId="6">
    <w:abstractNumId w:val="26"/>
  </w:num>
  <w:num w:numId="7">
    <w:abstractNumId w:val="18"/>
  </w:num>
  <w:num w:numId="8">
    <w:abstractNumId w:val="14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28"/>
  </w:num>
  <w:num w:numId="13">
    <w:abstractNumId w:val="9"/>
  </w:num>
  <w:num w:numId="14">
    <w:abstractNumId w:val="7"/>
  </w:num>
  <w:num w:numId="15">
    <w:abstractNumId w:val="16"/>
  </w:num>
  <w:num w:numId="16">
    <w:abstractNumId w:val="23"/>
  </w:num>
  <w:num w:numId="17">
    <w:abstractNumId w:val="3"/>
  </w:num>
  <w:num w:numId="18">
    <w:abstractNumId w:val="4"/>
  </w:num>
  <w:num w:numId="19">
    <w:abstractNumId w:val="8"/>
  </w:num>
  <w:num w:numId="20">
    <w:abstractNumId w:val="20"/>
  </w:num>
  <w:num w:numId="21">
    <w:abstractNumId w:val="29"/>
  </w:num>
  <w:num w:numId="22">
    <w:abstractNumId w:val="25"/>
  </w:num>
  <w:num w:numId="23">
    <w:abstractNumId w:val="2"/>
  </w:num>
  <w:num w:numId="24">
    <w:abstractNumId w:val="21"/>
  </w:num>
  <w:num w:numId="25">
    <w:abstractNumId w:val="15"/>
  </w:num>
  <w:num w:numId="26">
    <w:abstractNumId w:val="22"/>
  </w:num>
  <w:num w:numId="27">
    <w:abstractNumId w:val="17"/>
  </w:num>
  <w:num w:numId="28">
    <w:abstractNumId w:val="1"/>
  </w:num>
  <w:num w:numId="29">
    <w:abstractNumId w:val="5"/>
  </w:num>
  <w:num w:numId="30">
    <w:abstractNumId w:val="1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503BE"/>
    <w:rsid w:val="000B24A2"/>
    <w:rsid w:val="000B668F"/>
    <w:rsid w:val="000D72E5"/>
    <w:rsid w:val="000E2081"/>
    <w:rsid w:val="00107225"/>
    <w:rsid w:val="001172B6"/>
    <w:rsid w:val="00145A26"/>
    <w:rsid w:val="001A4FC1"/>
    <w:rsid w:val="001F52EC"/>
    <w:rsid w:val="00210340"/>
    <w:rsid w:val="00213341"/>
    <w:rsid w:val="002608E6"/>
    <w:rsid w:val="00272DEF"/>
    <w:rsid w:val="00294639"/>
    <w:rsid w:val="002B640E"/>
    <w:rsid w:val="002E0091"/>
    <w:rsid w:val="003075B1"/>
    <w:rsid w:val="00365315"/>
    <w:rsid w:val="00391C25"/>
    <w:rsid w:val="003A6A1F"/>
    <w:rsid w:val="003C5685"/>
    <w:rsid w:val="0040736C"/>
    <w:rsid w:val="0046173F"/>
    <w:rsid w:val="00484BC8"/>
    <w:rsid w:val="004A31A6"/>
    <w:rsid w:val="004F0220"/>
    <w:rsid w:val="004F314D"/>
    <w:rsid w:val="004F681F"/>
    <w:rsid w:val="0055377C"/>
    <w:rsid w:val="00561A71"/>
    <w:rsid w:val="005773E5"/>
    <w:rsid w:val="005913BA"/>
    <w:rsid w:val="005A3FD3"/>
    <w:rsid w:val="005C08C8"/>
    <w:rsid w:val="005D673C"/>
    <w:rsid w:val="005D781A"/>
    <w:rsid w:val="005E177C"/>
    <w:rsid w:val="0069685E"/>
    <w:rsid w:val="006C65FF"/>
    <w:rsid w:val="006D32C2"/>
    <w:rsid w:val="006D65BF"/>
    <w:rsid w:val="00741AFE"/>
    <w:rsid w:val="007A3A56"/>
    <w:rsid w:val="00804447"/>
    <w:rsid w:val="00805AA5"/>
    <w:rsid w:val="008149DF"/>
    <w:rsid w:val="00833BE2"/>
    <w:rsid w:val="00836A4B"/>
    <w:rsid w:val="0088612C"/>
    <w:rsid w:val="008A6BA4"/>
    <w:rsid w:val="008C407B"/>
    <w:rsid w:val="008C42CF"/>
    <w:rsid w:val="008D3430"/>
    <w:rsid w:val="009040B4"/>
    <w:rsid w:val="00904426"/>
    <w:rsid w:val="00915A1F"/>
    <w:rsid w:val="009419B9"/>
    <w:rsid w:val="009502AB"/>
    <w:rsid w:val="00957E67"/>
    <w:rsid w:val="009D1817"/>
    <w:rsid w:val="009E574C"/>
    <w:rsid w:val="00A149B0"/>
    <w:rsid w:val="00A41CF2"/>
    <w:rsid w:val="00A54895"/>
    <w:rsid w:val="00A64D16"/>
    <w:rsid w:val="00AC7F35"/>
    <w:rsid w:val="00AD2468"/>
    <w:rsid w:val="00B60DAA"/>
    <w:rsid w:val="00B708CF"/>
    <w:rsid w:val="00B74193"/>
    <w:rsid w:val="00B91335"/>
    <w:rsid w:val="00BA6195"/>
    <w:rsid w:val="00BB7D2A"/>
    <w:rsid w:val="00BE788A"/>
    <w:rsid w:val="00BF38DD"/>
    <w:rsid w:val="00BF4C19"/>
    <w:rsid w:val="00C05602"/>
    <w:rsid w:val="00C44119"/>
    <w:rsid w:val="00D25C8B"/>
    <w:rsid w:val="00D57ECD"/>
    <w:rsid w:val="00D91306"/>
    <w:rsid w:val="00D91E0F"/>
    <w:rsid w:val="00DB0879"/>
    <w:rsid w:val="00DD0DF2"/>
    <w:rsid w:val="00E92AE6"/>
    <w:rsid w:val="00F87F4F"/>
    <w:rsid w:val="00FE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A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1A"/>
    <w:rPr>
      <w:lang w:val="en-US"/>
    </w:rPr>
  </w:style>
  <w:style w:type="paragraph" w:styleId="NoSpacing">
    <w:name w:val="No Spacing"/>
    <w:uiPriority w:val="99"/>
    <w:qFormat/>
    <w:rsid w:val="004F68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josc</cp:lastModifiedBy>
  <cp:revision>8</cp:revision>
  <cp:lastPrinted>2011-08-11T02:05:00Z</cp:lastPrinted>
  <dcterms:created xsi:type="dcterms:W3CDTF">2011-08-12T05:45:00Z</dcterms:created>
  <dcterms:modified xsi:type="dcterms:W3CDTF">2011-09-29T06:51:00Z</dcterms:modified>
</cp:coreProperties>
</file>