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B4" w:rsidRPr="00365315" w:rsidRDefault="003C5685" w:rsidP="001B0704">
      <w:pPr>
        <w:jc w:val="right"/>
        <w:rPr>
          <w:rFonts w:ascii="Arial" w:hAnsi="Arial" w:cs="Arial"/>
          <w:sz w:val="28"/>
          <w:szCs w:val="28"/>
        </w:rPr>
      </w:pPr>
      <w:r w:rsidRPr="00365315">
        <w:rPr>
          <w:rFonts w:ascii="Arial" w:hAnsi="Arial" w:cs="Arial"/>
          <w:b/>
          <w:sz w:val="28"/>
          <w:szCs w:val="28"/>
        </w:rPr>
        <w:t>No.</w:t>
      </w:r>
      <w:r w:rsidRPr="00365315">
        <w:rPr>
          <w:rFonts w:ascii="Arial" w:hAnsi="Arial" w:cs="Arial"/>
          <w:b/>
          <w:sz w:val="28"/>
          <w:szCs w:val="28"/>
        </w:rPr>
        <w:tab/>
      </w:r>
      <w:r w:rsidR="00C90FEE">
        <w:rPr>
          <w:rFonts w:ascii="Arial" w:hAnsi="Arial" w:cs="Arial"/>
          <w:b/>
          <w:sz w:val="28"/>
          <w:szCs w:val="28"/>
        </w:rPr>
        <w:t>2</w:t>
      </w:r>
      <w:r w:rsidR="00CC4CF6">
        <w:rPr>
          <w:rFonts w:ascii="Arial" w:hAnsi="Arial" w:cs="Arial"/>
          <w:b/>
          <w:sz w:val="28"/>
          <w:szCs w:val="28"/>
        </w:rPr>
        <w:t>3</w:t>
      </w:r>
      <w:r w:rsidR="002663A8">
        <w:rPr>
          <w:rFonts w:ascii="Arial" w:hAnsi="Arial" w:cs="Arial"/>
          <w:b/>
          <w:sz w:val="28"/>
          <w:szCs w:val="28"/>
        </w:rPr>
        <w:t>3</w:t>
      </w:r>
    </w:p>
    <w:p w:rsidR="00365315" w:rsidRPr="00181B36" w:rsidRDefault="00365315" w:rsidP="001B0704">
      <w:pPr>
        <w:jc w:val="center"/>
        <w:rPr>
          <w:rFonts w:ascii="Arial" w:hAnsi="Arial" w:cs="Arial"/>
          <w:b/>
          <w:sz w:val="28"/>
          <w:szCs w:val="28"/>
        </w:rPr>
      </w:pPr>
    </w:p>
    <w:p w:rsidR="00BB7D2A" w:rsidRPr="00181B36" w:rsidRDefault="00BB7D2A" w:rsidP="001B0704">
      <w:pPr>
        <w:jc w:val="center"/>
        <w:rPr>
          <w:rFonts w:ascii="Arial" w:hAnsi="Arial" w:cs="Arial"/>
          <w:b/>
          <w:sz w:val="28"/>
          <w:szCs w:val="28"/>
        </w:rPr>
      </w:pPr>
      <w:r w:rsidRPr="00181B36">
        <w:rPr>
          <w:rFonts w:ascii="Arial" w:hAnsi="Arial" w:cs="Arial"/>
          <w:b/>
          <w:sz w:val="28"/>
          <w:szCs w:val="28"/>
        </w:rPr>
        <w:t>LEGISLATIVE ASSEMBLY OF THE NORTHERN TERRITORY</w:t>
      </w:r>
    </w:p>
    <w:p w:rsidR="00BB7D2A" w:rsidRPr="00BD21D9" w:rsidRDefault="00BB7D2A" w:rsidP="001B0704">
      <w:pPr>
        <w:jc w:val="center"/>
        <w:rPr>
          <w:rFonts w:ascii="Arial" w:hAnsi="Arial" w:cs="Arial"/>
          <w:b/>
          <w:sz w:val="22"/>
          <w:szCs w:val="22"/>
        </w:rPr>
      </w:pPr>
    </w:p>
    <w:p w:rsidR="00F87F4F" w:rsidRPr="00BD21D9" w:rsidRDefault="00BB7D2A" w:rsidP="003867E3">
      <w:pPr>
        <w:jc w:val="center"/>
        <w:rPr>
          <w:rFonts w:ascii="Arial" w:hAnsi="Arial" w:cs="Arial"/>
          <w:b/>
          <w:sz w:val="22"/>
          <w:szCs w:val="22"/>
        </w:rPr>
      </w:pPr>
      <w:r w:rsidRPr="00BD21D9">
        <w:rPr>
          <w:rFonts w:ascii="Arial" w:hAnsi="Arial" w:cs="Arial"/>
          <w:b/>
          <w:sz w:val="22"/>
          <w:szCs w:val="22"/>
        </w:rPr>
        <w:t>WRITTEN QUESTION</w:t>
      </w:r>
    </w:p>
    <w:p w:rsidR="00F04414" w:rsidRPr="00BD21D9" w:rsidRDefault="00F04414" w:rsidP="00956B08">
      <w:pPr>
        <w:pStyle w:val="Header"/>
        <w:tabs>
          <w:tab w:val="left" w:pos="4395"/>
        </w:tabs>
        <w:ind w:left="720" w:hanging="720"/>
        <w:jc w:val="both"/>
        <w:rPr>
          <w:rFonts w:ascii="Arial" w:hAnsi="Arial" w:cs="Arial"/>
          <w:sz w:val="22"/>
          <w:szCs w:val="22"/>
        </w:rPr>
      </w:pPr>
    </w:p>
    <w:p w:rsidR="00F04414" w:rsidRPr="00BD21D9" w:rsidRDefault="00BB5ADD" w:rsidP="00956B08">
      <w:pPr>
        <w:pStyle w:val="Header"/>
        <w:tabs>
          <w:tab w:val="left" w:pos="4395"/>
        </w:tabs>
        <w:ind w:left="720" w:hanging="720"/>
        <w:jc w:val="both"/>
        <w:rPr>
          <w:rFonts w:ascii="Arial" w:hAnsi="Arial" w:cs="Arial"/>
          <w:sz w:val="22"/>
          <w:szCs w:val="22"/>
        </w:rPr>
      </w:pPr>
      <w:proofErr w:type="spellStart"/>
      <w:r w:rsidRPr="00BD21D9">
        <w:rPr>
          <w:rFonts w:ascii="Arial" w:hAnsi="Arial" w:cs="Arial"/>
          <w:sz w:val="22"/>
          <w:szCs w:val="22"/>
        </w:rPr>
        <w:t>M</w:t>
      </w:r>
      <w:r>
        <w:rPr>
          <w:rFonts w:ascii="Arial" w:hAnsi="Arial" w:cs="Arial"/>
          <w:sz w:val="22"/>
          <w:szCs w:val="22"/>
        </w:rPr>
        <w:t>r</w:t>
      </w:r>
      <w:proofErr w:type="spellEnd"/>
      <w:r>
        <w:rPr>
          <w:rFonts w:ascii="Arial" w:hAnsi="Arial" w:cs="Arial"/>
          <w:sz w:val="22"/>
          <w:szCs w:val="22"/>
        </w:rPr>
        <w:t xml:space="preserve"> </w:t>
      </w:r>
      <w:proofErr w:type="spellStart"/>
      <w:r>
        <w:rPr>
          <w:rFonts w:ascii="Arial" w:hAnsi="Arial" w:cs="Arial"/>
          <w:sz w:val="22"/>
          <w:szCs w:val="22"/>
        </w:rPr>
        <w:t>Vowles</w:t>
      </w:r>
      <w:proofErr w:type="spellEnd"/>
      <w:r>
        <w:rPr>
          <w:rFonts w:ascii="Arial" w:hAnsi="Arial" w:cs="Arial"/>
          <w:sz w:val="22"/>
          <w:szCs w:val="22"/>
        </w:rPr>
        <w:t xml:space="preserve"> </w:t>
      </w:r>
      <w:r w:rsidR="0036353F">
        <w:rPr>
          <w:rFonts w:ascii="Arial" w:hAnsi="Arial" w:cs="Arial"/>
          <w:sz w:val="22"/>
          <w:szCs w:val="22"/>
        </w:rPr>
        <w:t xml:space="preserve">to the Minister for </w:t>
      </w:r>
      <w:r w:rsidR="002663A8">
        <w:rPr>
          <w:rFonts w:ascii="Arial" w:hAnsi="Arial" w:cs="Arial"/>
          <w:sz w:val="22"/>
          <w:szCs w:val="22"/>
        </w:rPr>
        <w:t>Alcohol Policy</w:t>
      </w:r>
      <w:r w:rsidR="00181B36" w:rsidRPr="00BD21D9">
        <w:rPr>
          <w:rFonts w:ascii="Arial" w:hAnsi="Arial" w:cs="Arial"/>
          <w:sz w:val="22"/>
          <w:szCs w:val="22"/>
        </w:rPr>
        <w:t>:</w:t>
      </w:r>
    </w:p>
    <w:p w:rsidR="00F04414" w:rsidRPr="00BD21D9" w:rsidRDefault="00F04414" w:rsidP="00956B08">
      <w:pPr>
        <w:pStyle w:val="Header"/>
        <w:tabs>
          <w:tab w:val="left" w:pos="4395"/>
        </w:tabs>
        <w:ind w:left="720" w:hanging="720"/>
        <w:jc w:val="both"/>
        <w:rPr>
          <w:rFonts w:ascii="Arial" w:hAnsi="Arial" w:cs="Arial"/>
          <w:sz w:val="22"/>
          <w:szCs w:val="22"/>
        </w:rPr>
      </w:pPr>
    </w:p>
    <w:p w:rsidR="00956B08" w:rsidRDefault="002663A8" w:rsidP="000F1895">
      <w:pPr>
        <w:pStyle w:val="Header"/>
        <w:tabs>
          <w:tab w:val="left" w:pos="4395"/>
        </w:tabs>
        <w:jc w:val="center"/>
        <w:rPr>
          <w:rFonts w:ascii="Arial" w:hAnsi="Arial" w:cs="Arial"/>
          <w:b/>
          <w:sz w:val="22"/>
          <w:szCs w:val="22"/>
        </w:rPr>
      </w:pPr>
      <w:r>
        <w:rPr>
          <w:rFonts w:ascii="Arial" w:hAnsi="Arial" w:cs="Arial"/>
          <w:b/>
          <w:sz w:val="22"/>
          <w:szCs w:val="22"/>
        </w:rPr>
        <w:t>Alcohol Policy, Gambling and Licensing Services</w:t>
      </w:r>
    </w:p>
    <w:p w:rsidR="000F1895" w:rsidRPr="00CC4CF6" w:rsidRDefault="000F1895" w:rsidP="00CC4CF6">
      <w:pPr>
        <w:pStyle w:val="Header"/>
        <w:tabs>
          <w:tab w:val="left" w:pos="4395"/>
        </w:tabs>
        <w:jc w:val="both"/>
        <w:rPr>
          <w:rFonts w:ascii="Arial" w:hAnsi="Arial" w:cs="Arial"/>
          <w:b/>
          <w:color w:val="000000" w:themeColor="text1"/>
          <w:sz w:val="22"/>
          <w:szCs w:val="22"/>
        </w:rPr>
      </w:pPr>
    </w:p>
    <w:p w:rsidR="002663A8" w:rsidRDefault="002663A8" w:rsidP="002663A8">
      <w:pPr>
        <w:ind w:left="426" w:hanging="426"/>
        <w:jc w:val="both"/>
        <w:rPr>
          <w:rFonts w:ascii="Arial" w:hAnsi="Arial" w:cs="Arial"/>
          <w:sz w:val="22"/>
          <w:szCs w:val="22"/>
        </w:rPr>
      </w:pPr>
      <w:r w:rsidRPr="002663A8">
        <w:rPr>
          <w:rFonts w:ascii="Arial" w:hAnsi="Arial" w:cs="Arial"/>
          <w:sz w:val="22"/>
          <w:szCs w:val="22"/>
        </w:rPr>
        <w:t>1.</w:t>
      </w:r>
      <w:r w:rsidRPr="002663A8">
        <w:rPr>
          <w:rFonts w:ascii="Arial" w:hAnsi="Arial" w:cs="Arial"/>
          <w:sz w:val="22"/>
          <w:szCs w:val="22"/>
        </w:rPr>
        <w:tab/>
        <w:t>Please list all completed alcohol management plans and the expected date of finalisation of outstanding plans.</w:t>
      </w:r>
    </w:p>
    <w:p w:rsidR="003B6FBA" w:rsidRDefault="003B6FBA" w:rsidP="002663A8">
      <w:pPr>
        <w:ind w:left="426" w:hanging="426"/>
        <w:jc w:val="both"/>
        <w:rPr>
          <w:rFonts w:ascii="Arial" w:hAnsi="Arial" w:cs="Arial"/>
          <w:sz w:val="22"/>
          <w:szCs w:val="22"/>
        </w:rPr>
      </w:pPr>
    </w:p>
    <w:p w:rsidR="00A63D12" w:rsidRPr="00A63D12" w:rsidRDefault="00A63D12" w:rsidP="00A63D12">
      <w:pPr>
        <w:jc w:val="both"/>
        <w:rPr>
          <w:rFonts w:ascii="Arial" w:hAnsi="Arial" w:cs="Arial"/>
          <w:b/>
          <w:color w:val="548DD4" w:themeColor="text2" w:themeTint="99"/>
          <w:sz w:val="22"/>
          <w:szCs w:val="22"/>
          <w:u w:val="single"/>
        </w:rPr>
      </w:pPr>
      <w:r w:rsidRPr="00A63D12">
        <w:rPr>
          <w:rFonts w:ascii="Arial" w:hAnsi="Arial" w:cs="Arial"/>
          <w:b/>
          <w:color w:val="548DD4" w:themeColor="text2" w:themeTint="99"/>
          <w:sz w:val="22"/>
          <w:szCs w:val="22"/>
          <w:u w:val="single"/>
        </w:rPr>
        <w:t xml:space="preserve">AMPs where the community has signed off at the local level or where an AMP is being managed </w:t>
      </w:r>
    </w:p>
    <w:p w:rsidR="00A63D12" w:rsidRDefault="00A63D12" w:rsidP="00A63D12">
      <w:pPr>
        <w:tabs>
          <w:tab w:val="left" w:pos="851"/>
          <w:tab w:val="left" w:pos="1134"/>
        </w:tabs>
        <w:ind w:left="426" w:hanging="426"/>
        <w:jc w:val="both"/>
        <w:rPr>
          <w:rFonts w:ascii="Arial" w:hAnsi="Arial" w:cs="Arial"/>
          <w:color w:val="548DD4" w:themeColor="text2" w:themeTint="99"/>
          <w:sz w:val="22"/>
          <w:szCs w:val="22"/>
        </w:rPr>
      </w:pPr>
    </w:p>
    <w:p w:rsidR="00A63D12" w:rsidRPr="00A63D12" w:rsidRDefault="00A63D12" w:rsidP="00A63D12">
      <w:pPr>
        <w:tabs>
          <w:tab w:val="left" w:pos="851"/>
          <w:tab w:val="left" w:pos="1134"/>
        </w:tabs>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Notes:</w:t>
      </w:r>
      <w:r w:rsidRPr="00A63D12">
        <w:rPr>
          <w:rFonts w:ascii="Arial" w:hAnsi="Arial" w:cs="Arial"/>
          <w:color w:val="548DD4" w:themeColor="text2" w:themeTint="99"/>
          <w:sz w:val="22"/>
          <w:szCs w:val="22"/>
        </w:rPr>
        <w:tab/>
        <w:t>-</w:t>
      </w:r>
      <w:r w:rsidRPr="00A63D12">
        <w:rPr>
          <w:rFonts w:ascii="Arial" w:hAnsi="Arial" w:cs="Arial"/>
          <w:color w:val="548DD4" w:themeColor="text2" w:themeTint="99"/>
          <w:sz w:val="22"/>
          <w:szCs w:val="22"/>
        </w:rPr>
        <w:tab/>
        <w:t xml:space="preserve">a number of these are now in the process of redevelopment.  AMPs are not </w:t>
      </w:r>
      <w:r w:rsidRPr="00A63D12">
        <w:rPr>
          <w:rFonts w:ascii="Arial" w:hAnsi="Arial" w:cs="Arial"/>
          <w:color w:val="548DD4" w:themeColor="text2" w:themeTint="99"/>
          <w:sz w:val="22"/>
          <w:szCs w:val="22"/>
        </w:rPr>
        <w:tab/>
      </w:r>
      <w:r w:rsidRPr="00A63D12">
        <w:rPr>
          <w:rFonts w:ascii="Arial" w:hAnsi="Arial" w:cs="Arial"/>
          <w:color w:val="548DD4" w:themeColor="text2" w:themeTint="99"/>
          <w:sz w:val="22"/>
          <w:szCs w:val="22"/>
        </w:rPr>
        <w:tab/>
      </w:r>
      <w:r w:rsidRPr="00A63D12">
        <w:rPr>
          <w:rFonts w:ascii="Arial" w:hAnsi="Arial" w:cs="Arial"/>
          <w:color w:val="548DD4" w:themeColor="text2" w:themeTint="99"/>
          <w:sz w:val="22"/>
          <w:szCs w:val="22"/>
        </w:rPr>
        <w:tab/>
        <w:t xml:space="preserve">static; they involve an ongoing process of development, implementation and </w:t>
      </w:r>
      <w:r w:rsidRPr="00A63D12">
        <w:rPr>
          <w:rFonts w:ascii="Arial" w:hAnsi="Arial" w:cs="Arial"/>
          <w:color w:val="548DD4" w:themeColor="text2" w:themeTint="99"/>
          <w:sz w:val="22"/>
          <w:szCs w:val="22"/>
        </w:rPr>
        <w:tab/>
      </w:r>
      <w:r w:rsidRPr="00A63D12">
        <w:rPr>
          <w:rFonts w:ascii="Arial" w:hAnsi="Arial" w:cs="Arial"/>
          <w:color w:val="548DD4" w:themeColor="text2" w:themeTint="99"/>
          <w:sz w:val="22"/>
          <w:szCs w:val="22"/>
        </w:rPr>
        <w:tab/>
      </w:r>
      <w:r w:rsidRPr="00A63D12">
        <w:rPr>
          <w:rFonts w:ascii="Arial" w:hAnsi="Arial" w:cs="Arial"/>
          <w:color w:val="548DD4" w:themeColor="text2" w:themeTint="99"/>
          <w:sz w:val="22"/>
          <w:szCs w:val="22"/>
        </w:rPr>
        <w:tab/>
        <w:t>redevelopment</w:t>
      </w:r>
      <w:r>
        <w:rPr>
          <w:rFonts w:ascii="Arial" w:hAnsi="Arial" w:cs="Arial"/>
          <w:color w:val="548DD4" w:themeColor="text2" w:themeTint="99"/>
          <w:sz w:val="22"/>
          <w:szCs w:val="22"/>
        </w:rPr>
        <w:t>.</w:t>
      </w:r>
    </w:p>
    <w:p w:rsidR="00A63D12" w:rsidRPr="00A63D12" w:rsidRDefault="00A63D12" w:rsidP="00A63D12">
      <w:pPr>
        <w:tabs>
          <w:tab w:val="left" w:pos="1134"/>
        </w:tabs>
        <w:ind w:left="426" w:firstLine="425"/>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 xml:space="preserve">(SFNT) refers to AMPs being developed under the </w:t>
      </w:r>
      <w:r w:rsidRPr="00A63D12">
        <w:rPr>
          <w:rFonts w:ascii="Arial" w:hAnsi="Arial" w:cs="Arial"/>
          <w:i/>
          <w:color w:val="548DD4" w:themeColor="text2" w:themeTint="99"/>
          <w:sz w:val="22"/>
          <w:szCs w:val="22"/>
        </w:rPr>
        <w:t xml:space="preserve">Stronger Futures in the </w:t>
      </w:r>
      <w:r w:rsidRPr="00A63D12">
        <w:rPr>
          <w:rFonts w:ascii="Arial" w:hAnsi="Arial" w:cs="Arial"/>
          <w:i/>
          <w:color w:val="548DD4" w:themeColor="text2" w:themeTint="99"/>
          <w:sz w:val="22"/>
          <w:szCs w:val="22"/>
        </w:rPr>
        <w:tab/>
      </w:r>
      <w:r w:rsidRPr="00A63D12">
        <w:rPr>
          <w:rFonts w:ascii="Arial" w:hAnsi="Arial" w:cs="Arial"/>
          <w:i/>
          <w:color w:val="548DD4" w:themeColor="text2" w:themeTint="99"/>
          <w:sz w:val="22"/>
          <w:szCs w:val="22"/>
        </w:rPr>
        <w:tab/>
      </w:r>
      <w:r w:rsidRPr="00A63D12">
        <w:rPr>
          <w:rFonts w:ascii="Arial" w:hAnsi="Arial" w:cs="Arial"/>
          <w:i/>
          <w:color w:val="548DD4" w:themeColor="text2" w:themeTint="99"/>
          <w:sz w:val="22"/>
          <w:szCs w:val="22"/>
        </w:rPr>
        <w:tab/>
        <w:t>Northern Territory Act</w:t>
      </w:r>
      <w:r w:rsidRPr="00A63D12">
        <w:rPr>
          <w:rFonts w:ascii="Arial" w:hAnsi="Arial" w:cs="Arial"/>
          <w:color w:val="548DD4" w:themeColor="text2" w:themeTint="99"/>
          <w:sz w:val="22"/>
          <w:szCs w:val="22"/>
        </w:rPr>
        <w:t xml:space="preserve"> (</w:t>
      </w:r>
      <w:proofErr w:type="spellStart"/>
      <w:r w:rsidRPr="00A63D12">
        <w:rPr>
          <w:rFonts w:ascii="Arial" w:hAnsi="Arial" w:cs="Arial"/>
          <w:color w:val="548DD4" w:themeColor="text2" w:themeTint="99"/>
          <w:sz w:val="22"/>
          <w:szCs w:val="22"/>
        </w:rPr>
        <w:t>Cth</w:t>
      </w:r>
      <w:proofErr w:type="spellEnd"/>
      <w:r w:rsidRPr="00A63D12">
        <w:rPr>
          <w:rFonts w:ascii="Arial" w:hAnsi="Arial" w:cs="Arial"/>
          <w:color w:val="548DD4" w:themeColor="text2" w:themeTint="99"/>
          <w:sz w:val="22"/>
          <w:szCs w:val="22"/>
        </w:rPr>
        <w:t>) processes</w:t>
      </w:r>
      <w:r>
        <w:rPr>
          <w:rFonts w:ascii="Arial" w:hAnsi="Arial" w:cs="Arial"/>
          <w:color w:val="548DD4" w:themeColor="text2" w:themeTint="99"/>
          <w:sz w:val="22"/>
          <w:szCs w:val="22"/>
        </w:rPr>
        <w:t>.</w:t>
      </w:r>
    </w:p>
    <w:p w:rsidR="00A63D12" w:rsidRPr="00A63D12" w:rsidRDefault="00A63D12" w:rsidP="00A63D12">
      <w:pPr>
        <w:tabs>
          <w:tab w:val="left" w:pos="1134"/>
        </w:tabs>
        <w:ind w:left="426" w:firstLine="425"/>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(NTG) refers to AMPs under NT Government AMP development processes</w:t>
      </w:r>
      <w:r>
        <w:rPr>
          <w:rFonts w:ascii="Arial" w:hAnsi="Arial" w:cs="Arial"/>
          <w:color w:val="548DD4" w:themeColor="text2" w:themeTint="99"/>
          <w:sz w:val="22"/>
          <w:szCs w:val="22"/>
        </w:rPr>
        <w:t>.</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Pirlangimpi</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Milikapiti</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Wurrimiyanga</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Wurrankuw</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Gunbalanya</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Maningrida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Palmerston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Jabiru/Kakadu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Nhulunbuy/East Arnhem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Groote Eylandt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Katherine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Binjari</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Wugularr</w:t>
      </w:r>
      <w:proofErr w:type="spellEnd"/>
      <w:r w:rsidRPr="00A63D12">
        <w:rPr>
          <w:rFonts w:ascii="Arial" w:hAnsi="Arial" w:cs="Arial"/>
          <w:color w:val="548DD4" w:themeColor="text2" w:themeTint="99"/>
          <w:sz w:val="22"/>
          <w:szCs w:val="22"/>
        </w:rPr>
        <w:t xml:space="preserve"> (</w:t>
      </w:r>
      <w:proofErr w:type="spellStart"/>
      <w:r w:rsidRPr="00A63D12">
        <w:rPr>
          <w:rFonts w:ascii="Arial" w:hAnsi="Arial" w:cs="Arial"/>
          <w:color w:val="548DD4" w:themeColor="text2" w:themeTint="99"/>
          <w:sz w:val="22"/>
          <w:szCs w:val="22"/>
        </w:rPr>
        <w:t>Beswick</w:t>
      </w:r>
      <w:proofErr w:type="spellEnd"/>
      <w:r w:rsidRPr="00A63D12">
        <w:rPr>
          <w:rFonts w:ascii="Arial" w:hAnsi="Arial" w:cs="Arial"/>
          <w:color w:val="548DD4" w:themeColor="text2" w:themeTint="99"/>
          <w:sz w:val="22"/>
          <w:szCs w:val="22"/>
        </w:rPr>
        <w:t>)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Manyallauk</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Barunga</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Jilkminggan</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Borroloola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Tennant Creek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Elliott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 xml:space="preserve">Ali </w:t>
      </w:r>
      <w:proofErr w:type="spellStart"/>
      <w:r w:rsidRPr="00A63D12">
        <w:rPr>
          <w:rFonts w:ascii="Arial" w:hAnsi="Arial" w:cs="Arial"/>
          <w:color w:val="548DD4" w:themeColor="text2" w:themeTint="99"/>
          <w:sz w:val="22"/>
          <w:szCs w:val="22"/>
        </w:rPr>
        <w:t>Curung</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Alice Springs (NTG)</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Mount Nancy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Titjikala</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Laramba</w:t>
      </w:r>
      <w:proofErr w:type="spellEnd"/>
      <w:r w:rsidRPr="00A63D12">
        <w:rPr>
          <w:rFonts w:ascii="Arial" w:hAnsi="Arial" w:cs="Arial"/>
          <w:color w:val="548DD4" w:themeColor="text2" w:themeTint="99"/>
          <w:sz w:val="22"/>
          <w:szCs w:val="22"/>
        </w:rPr>
        <w:t xml:space="preserve"> (SFNT)</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b/>
          <w:color w:val="548DD4" w:themeColor="text2" w:themeTint="99"/>
          <w:sz w:val="22"/>
          <w:szCs w:val="22"/>
          <w:u w:val="single"/>
        </w:rPr>
      </w:pPr>
      <w:r w:rsidRPr="00A63D12">
        <w:rPr>
          <w:rFonts w:ascii="Arial" w:hAnsi="Arial" w:cs="Arial"/>
          <w:b/>
          <w:color w:val="548DD4" w:themeColor="text2" w:themeTint="99"/>
          <w:sz w:val="22"/>
          <w:szCs w:val="22"/>
          <w:u w:val="single"/>
        </w:rPr>
        <w:t>AMPs where the Australian Government Minister has approved an AMP</w:t>
      </w:r>
    </w:p>
    <w:p w:rsidR="00A63D12" w:rsidRDefault="00A63D12" w:rsidP="00A63D12">
      <w:pPr>
        <w:ind w:left="426" w:hanging="426"/>
        <w:jc w:val="both"/>
        <w:rPr>
          <w:rFonts w:ascii="Arial" w:hAnsi="Arial" w:cs="Arial"/>
          <w:color w:val="548DD4" w:themeColor="text2" w:themeTint="99"/>
          <w:sz w:val="22"/>
          <w:szCs w:val="22"/>
        </w:rPr>
      </w:pPr>
    </w:p>
    <w:p w:rsidR="00A63D12" w:rsidRDefault="00A63D12" w:rsidP="00A63D12">
      <w:pPr>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 xml:space="preserve">AMPs under the </w:t>
      </w:r>
      <w:r w:rsidRPr="00A63D12">
        <w:rPr>
          <w:rFonts w:ascii="Arial" w:hAnsi="Arial" w:cs="Arial"/>
          <w:i/>
          <w:color w:val="548DD4" w:themeColor="text2" w:themeTint="99"/>
          <w:sz w:val="22"/>
          <w:szCs w:val="22"/>
        </w:rPr>
        <w:t>Stronger Futures in the Northern Territory Act</w:t>
      </w:r>
      <w:r w:rsidRPr="00A63D12">
        <w:rPr>
          <w:rFonts w:ascii="Arial" w:hAnsi="Arial" w:cs="Arial"/>
          <w:color w:val="548DD4" w:themeColor="text2" w:themeTint="99"/>
          <w:sz w:val="22"/>
          <w:szCs w:val="22"/>
        </w:rPr>
        <w:t xml:space="preserve"> – in alcohol protected areas only i.e. remote communities and town camps</w:t>
      </w:r>
      <w:r>
        <w:rPr>
          <w:rFonts w:ascii="Arial" w:hAnsi="Arial" w:cs="Arial"/>
          <w:color w:val="548DD4" w:themeColor="text2" w:themeTint="99"/>
          <w:sz w:val="22"/>
          <w:szCs w:val="22"/>
        </w:rPr>
        <w:t>.</w:t>
      </w:r>
    </w:p>
    <w:p w:rsidR="00A63D12" w:rsidRPr="00A63D12" w:rsidRDefault="00A63D12" w:rsidP="00A63D12">
      <w:pPr>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Titjikala</w:t>
      </w:r>
      <w:proofErr w:type="spellEnd"/>
    </w:p>
    <w:p w:rsidR="00A63D12" w:rsidRPr="00A63D12" w:rsidRDefault="00A63D12" w:rsidP="00A63D12">
      <w:pPr>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lastRenderedPageBreak/>
        <w:t>Note: cannot estimate dates for others as this process is highly dependent on the Australian Government Minister’s consideration.</w:t>
      </w:r>
    </w:p>
    <w:p w:rsid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jc w:val="both"/>
        <w:rPr>
          <w:rFonts w:ascii="Arial" w:hAnsi="Arial" w:cs="Arial"/>
          <w:b/>
          <w:color w:val="548DD4" w:themeColor="text2" w:themeTint="99"/>
          <w:sz w:val="22"/>
          <w:szCs w:val="22"/>
          <w:u w:val="single"/>
        </w:rPr>
      </w:pPr>
      <w:r w:rsidRPr="00A63D12">
        <w:rPr>
          <w:rFonts w:ascii="Arial" w:hAnsi="Arial" w:cs="Arial"/>
          <w:b/>
          <w:color w:val="548DD4" w:themeColor="text2" w:themeTint="99"/>
          <w:sz w:val="22"/>
          <w:szCs w:val="22"/>
          <w:u w:val="single"/>
        </w:rPr>
        <w:t xml:space="preserve">Other AMPs currently being developed and expected date when the community will have signed off on their AMP </w:t>
      </w:r>
    </w:p>
    <w:p w:rsidR="00A63D12" w:rsidRDefault="00A63D12" w:rsidP="00A63D12">
      <w:pPr>
        <w:ind w:left="426" w:hanging="426"/>
        <w:jc w:val="both"/>
        <w:rPr>
          <w:rFonts w:ascii="Arial" w:hAnsi="Arial" w:cs="Arial"/>
          <w:color w:val="548DD4" w:themeColor="text2" w:themeTint="99"/>
          <w:sz w:val="22"/>
          <w:szCs w:val="22"/>
        </w:rPr>
      </w:pPr>
    </w:p>
    <w:p w:rsidR="00A63D12" w:rsidRDefault="00A63D12" w:rsidP="00A63D12">
      <w:pPr>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Note: AMPs usually take between six months (at very earliest) to approx. 12 months to develop – subject to community readiness factors.</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Belyuen</w:t>
      </w:r>
      <w:proofErr w:type="spellEnd"/>
      <w:r w:rsidRPr="00A63D12">
        <w:rPr>
          <w:rFonts w:ascii="Arial" w:hAnsi="Arial" w:cs="Arial"/>
          <w:color w:val="548DD4" w:themeColor="text2" w:themeTint="99"/>
          <w:sz w:val="22"/>
          <w:szCs w:val="22"/>
        </w:rPr>
        <w:t xml:space="preserve"> - estimated June 2015</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Ngukurr – estimated May 2015</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Kalkaringi</w:t>
      </w:r>
      <w:proofErr w:type="spellEnd"/>
      <w:r w:rsidRPr="00A63D12">
        <w:rPr>
          <w:rFonts w:ascii="Arial" w:hAnsi="Arial" w:cs="Arial"/>
          <w:color w:val="548DD4" w:themeColor="text2" w:themeTint="99"/>
          <w:sz w:val="22"/>
          <w:szCs w:val="22"/>
        </w:rPr>
        <w:t xml:space="preserve"> and or Lajamanu – estimated November 2015*/ date hard to determine </w:t>
      </w:r>
    </w:p>
    <w:p w:rsidR="00A63D12" w:rsidRPr="00A63D12" w:rsidRDefault="00A63D12" w:rsidP="00A63D12">
      <w:pPr>
        <w:ind w:left="426" w:hanging="426"/>
        <w:jc w:val="both"/>
        <w:rPr>
          <w:rFonts w:ascii="Arial" w:hAnsi="Arial" w:cs="Arial"/>
          <w:color w:val="548DD4" w:themeColor="text2" w:themeTint="99"/>
          <w:sz w:val="22"/>
          <w:szCs w:val="22"/>
        </w:rPr>
      </w:pPr>
      <w:r>
        <w:rPr>
          <w:rFonts w:ascii="Arial" w:hAnsi="Arial" w:cs="Arial"/>
          <w:color w:val="548DD4" w:themeColor="text2" w:themeTint="99"/>
          <w:sz w:val="22"/>
          <w:szCs w:val="22"/>
        </w:rPr>
        <w:tab/>
      </w:r>
      <w:r w:rsidRPr="00A63D12">
        <w:rPr>
          <w:rFonts w:ascii="Arial" w:hAnsi="Arial" w:cs="Arial"/>
          <w:color w:val="548DD4" w:themeColor="text2" w:themeTint="99"/>
          <w:sz w:val="22"/>
          <w:szCs w:val="22"/>
        </w:rPr>
        <w:t>(</w:t>
      </w:r>
      <w:proofErr w:type="gramStart"/>
      <w:r w:rsidRPr="00A63D12">
        <w:rPr>
          <w:rFonts w:ascii="Arial" w:hAnsi="Arial" w:cs="Arial"/>
          <w:color w:val="548DD4" w:themeColor="text2" w:themeTint="99"/>
          <w:sz w:val="22"/>
          <w:szCs w:val="22"/>
        </w:rPr>
        <w:t>still</w:t>
      </w:r>
      <w:proofErr w:type="gramEnd"/>
      <w:r w:rsidRPr="00A63D12">
        <w:rPr>
          <w:rFonts w:ascii="Arial" w:hAnsi="Arial" w:cs="Arial"/>
          <w:color w:val="548DD4" w:themeColor="text2" w:themeTint="99"/>
          <w:sz w:val="22"/>
          <w:szCs w:val="22"/>
        </w:rPr>
        <w:t xml:space="preserve"> determining whether develop as two separate AMPs and timing or develop as cluster of communities in area)</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gramStart"/>
      <w:r w:rsidRPr="00A63D12">
        <w:rPr>
          <w:rFonts w:ascii="Arial" w:hAnsi="Arial" w:cs="Arial"/>
          <w:color w:val="548DD4" w:themeColor="text2" w:themeTint="99"/>
          <w:sz w:val="22"/>
          <w:szCs w:val="22"/>
        </w:rPr>
        <w:t>Yirrkala  estimated</w:t>
      </w:r>
      <w:proofErr w:type="gramEnd"/>
      <w:r w:rsidRPr="00A63D12">
        <w:rPr>
          <w:rFonts w:ascii="Arial" w:hAnsi="Arial" w:cs="Arial"/>
          <w:color w:val="548DD4" w:themeColor="text2" w:themeTint="99"/>
          <w:sz w:val="22"/>
          <w:szCs w:val="22"/>
        </w:rPr>
        <w:t xml:space="preserve"> September/October 2014</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Gunyangara</w:t>
      </w:r>
      <w:proofErr w:type="spellEnd"/>
      <w:r w:rsidRPr="00A63D12">
        <w:rPr>
          <w:rFonts w:ascii="Arial" w:hAnsi="Arial" w:cs="Arial"/>
          <w:color w:val="548DD4" w:themeColor="text2" w:themeTint="99"/>
          <w:sz w:val="22"/>
          <w:szCs w:val="22"/>
        </w:rPr>
        <w:t xml:space="preserve"> – estimated July 2015 </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Ntaria</w:t>
      </w:r>
      <w:proofErr w:type="spellEnd"/>
      <w:r w:rsidRPr="00A63D12">
        <w:rPr>
          <w:rFonts w:ascii="Arial" w:hAnsi="Arial" w:cs="Arial"/>
          <w:color w:val="548DD4" w:themeColor="text2" w:themeTint="99"/>
          <w:sz w:val="22"/>
          <w:szCs w:val="22"/>
        </w:rPr>
        <w:t xml:space="preserve"> – estimated May 2015</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 xml:space="preserve">Alice Springs Town Camps (pre-AMP research consultation project. Decision yet to evolve out of this process on the way forward regarding an AMP, e.g. some strategies will link to Alice Springs AMP, some Town camp-wide or specific) – no estimated date as such. </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b/>
          <w:color w:val="548DD4" w:themeColor="text2" w:themeTint="99"/>
          <w:sz w:val="22"/>
          <w:szCs w:val="22"/>
          <w:u w:val="single"/>
        </w:rPr>
      </w:pPr>
      <w:r w:rsidRPr="00A63D12">
        <w:rPr>
          <w:rFonts w:ascii="Arial" w:hAnsi="Arial" w:cs="Arial"/>
          <w:b/>
          <w:color w:val="548DD4" w:themeColor="text2" w:themeTint="99"/>
          <w:sz w:val="22"/>
          <w:szCs w:val="22"/>
          <w:u w:val="single"/>
        </w:rPr>
        <w:t>AMPs on Hold</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The two below have been on hold for a long period of time due to community readiness and are unlikely to commence redevelopment in the foreseeable future.</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Amungoona</w:t>
      </w:r>
      <w:proofErr w:type="spellEnd"/>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r>
      <w:proofErr w:type="spellStart"/>
      <w:r w:rsidRPr="00A63D12">
        <w:rPr>
          <w:rFonts w:ascii="Arial" w:hAnsi="Arial" w:cs="Arial"/>
          <w:color w:val="548DD4" w:themeColor="text2" w:themeTint="99"/>
          <w:sz w:val="22"/>
          <w:szCs w:val="22"/>
        </w:rPr>
        <w:t>Kybrook</w:t>
      </w:r>
      <w:proofErr w:type="spellEnd"/>
      <w:r w:rsidRPr="00A63D12">
        <w:rPr>
          <w:rFonts w:ascii="Arial" w:hAnsi="Arial" w:cs="Arial"/>
          <w:color w:val="548DD4" w:themeColor="text2" w:themeTint="99"/>
          <w:sz w:val="22"/>
          <w:szCs w:val="22"/>
        </w:rPr>
        <w:t xml:space="preserve"> Farm</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Notes</w:t>
      </w: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Explanations and Assumptions</w:t>
      </w:r>
    </w:p>
    <w:p w:rsidR="00A63D12" w:rsidRPr="00A63D12" w:rsidRDefault="00A63D12" w:rsidP="00A63D12">
      <w:pPr>
        <w:ind w:left="426" w:hanging="426"/>
        <w:jc w:val="both"/>
        <w:rPr>
          <w:rFonts w:ascii="Arial" w:hAnsi="Arial" w:cs="Arial"/>
          <w:color w:val="548DD4" w:themeColor="text2" w:themeTint="99"/>
          <w:sz w:val="22"/>
          <w:szCs w:val="22"/>
        </w:rPr>
      </w:pPr>
    </w:p>
    <w:p w:rsidR="00A63D12" w:rsidRPr="00A63D12" w:rsidRDefault="00A63D12" w:rsidP="00A63D12">
      <w:pPr>
        <w:ind w:left="426" w:hanging="426"/>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Key completion date is when communities have signed off and agreed on their AMP at a community level.</w:t>
      </w:r>
    </w:p>
    <w:p w:rsidR="00A63D12" w:rsidRDefault="00A63D12" w:rsidP="00A63D12">
      <w:pPr>
        <w:jc w:val="both"/>
        <w:rPr>
          <w:rFonts w:ascii="Arial" w:hAnsi="Arial" w:cs="Arial"/>
          <w:color w:val="548DD4" w:themeColor="text2" w:themeTint="99"/>
          <w:sz w:val="22"/>
          <w:szCs w:val="22"/>
        </w:rPr>
      </w:pPr>
      <w:r w:rsidRPr="00A63D12">
        <w:rPr>
          <w:rFonts w:ascii="Arial" w:hAnsi="Arial" w:cs="Arial"/>
          <w:color w:val="548DD4" w:themeColor="text2" w:themeTint="99"/>
          <w:sz w:val="22"/>
          <w:szCs w:val="22"/>
        </w:rPr>
        <w:t>•</w:t>
      </w:r>
      <w:r w:rsidRPr="00A63D12">
        <w:rPr>
          <w:rFonts w:ascii="Arial" w:hAnsi="Arial" w:cs="Arial"/>
          <w:color w:val="548DD4" w:themeColor="text2" w:themeTint="99"/>
          <w:sz w:val="22"/>
          <w:szCs w:val="22"/>
        </w:rPr>
        <w:tab/>
        <w:t xml:space="preserve">Those AMPs that are being developed under the </w:t>
      </w:r>
      <w:r w:rsidRPr="00A63D12">
        <w:rPr>
          <w:rFonts w:ascii="Arial" w:hAnsi="Arial" w:cs="Arial"/>
          <w:i/>
          <w:color w:val="548DD4" w:themeColor="text2" w:themeTint="99"/>
          <w:sz w:val="22"/>
          <w:szCs w:val="22"/>
        </w:rPr>
        <w:t xml:space="preserve">Stronger Futures in the Northern </w:t>
      </w:r>
      <w:r w:rsidRPr="00A63D12">
        <w:rPr>
          <w:rFonts w:ascii="Arial" w:hAnsi="Arial" w:cs="Arial"/>
          <w:i/>
          <w:color w:val="548DD4" w:themeColor="text2" w:themeTint="99"/>
          <w:sz w:val="22"/>
          <w:szCs w:val="22"/>
        </w:rPr>
        <w:tab/>
        <w:t>Territory Act</w:t>
      </w:r>
      <w:r w:rsidRPr="00A63D12">
        <w:rPr>
          <w:rFonts w:ascii="Arial" w:hAnsi="Arial" w:cs="Arial"/>
          <w:color w:val="548DD4" w:themeColor="text2" w:themeTint="99"/>
          <w:sz w:val="22"/>
          <w:szCs w:val="22"/>
        </w:rPr>
        <w:t xml:space="preserve"> (</w:t>
      </w:r>
      <w:proofErr w:type="spellStart"/>
      <w:r w:rsidRPr="00A63D12">
        <w:rPr>
          <w:rFonts w:ascii="Arial" w:hAnsi="Arial" w:cs="Arial"/>
          <w:color w:val="548DD4" w:themeColor="text2" w:themeTint="99"/>
          <w:sz w:val="22"/>
          <w:szCs w:val="22"/>
        </w:rPr>
        <w:t>Cth</w:t>
      </w:r>
      <w:proofErr w:type="spellEnd"/>
      <w:r w:rsidRPr="00A63D12">
        <w:rPr>
          <w:rFonts w:ascii="Arial" w:hAnsi="Arial" w:cs="Arial"/>
          <w:color w:val="548DD4" w:themeColor="text2" w:themeTint="99"/>
          <w:sz w:val="22"/>
          <w:szCs w:val="22"/>
        </w:rPr>
        <w:t xml:space="preserve">) include an additional step as outlined in that Act, i.e. consideration for </w:t>
      </w:r>
      <w:r>
        <w:rPr>
          <w:rFonts w:ascii="Arial" w:hAnsi="Arial" w:cs="Arial"/>
          <w:color w:val="548DD4" w:themeColor="text2" w:themeTint="99"/>
          <w:sz w:val="22"/>
          <w:szCs w:val="22"/>
        </w:rPr>
        <w:tab/>
      </w:r>
      <w:r w:rsidRPr="00A63D12">
        <w:rPr>
          <w:rFonts w:ascii="Arial" w:hAnsi="Arial" w:cs="Arial"/>
          <w:color w:val="548DD4" w:themeColor="text2" w:themeTint="99"/>
          <w:sz w:val="22"/>
          <w:szCs w:val="22"/>
        </w:rPr>
        <w:t xml:space="preserve">approval of an AMP by the Australian Government Minister for Indigenous Affairs based </w:t>
      </w:r>
      <w:r>
        <w:rPr>
          <w:rFonts w:ascii="Arial" w:hAnsi="Arial" w:cs="Arial"/>
          <w:color w:val="548DD4" w:themeColor="text2" w:themeTint="99"/>
          <w:sz w:val="22"/>
          <w:szCs w:val="22"/>
        </w:rPr>
        <w:tab/>
      </w:r>
      <w:r w:rsidRPr="00A63D12">
        <w:rPr>
          <w:rFonts w:ascii="Arial" w:hAnsi="Arial" w:cs="Arial"/>
          <w:color w:val="548DD4" w:themeColor="text2" w:themeTint="99"/>
          <w:sz w:val="22"/>
          <w:szCs w:val="22"/>
        </w:rPr>
        <w:t xml:space="preserve">on meeting the AMP Minimum Standards (passed through Parliament in February  </w:t>
      </w:r>
      <w:r>
        <w:rPr>
          <w:rFonts w:ascii="Arial" w:hAnsi="Arial" w:cs="Arial"/>
          <w:color w:val="548DD4" w:themeColor="text2" w:themeTint="99"/>
          <w:sz w:val="22"/>
          <w:szCs w:val="22"/>
        </w:rPr>
        <w:tab/>
      </w:r>
      <w:r w:rsidRPr="00A63D12">
        <w:rPr>
          <w:rFonts w:ascii="Arial" w:hAnsi="Arial" w:cs="Arial"/>
          <w:color w:val="548DD4" w:themeColor="text2" w:themeTint="99"/>
          <w:sz w:val="22"/>
          <w:szCs w:val="22"/>
        </w:rPr>
        <w:t>2013) and other considerations.</w:t>
      </w:r>
    </w:p>
    <w:p w:rsidR="002663A8" w:rsidRPr="002663A8" w:rsidRDefault="00A63D12" w:rsidP="00A63D12">
      <w:pPr>
        <w:jc w:val="both"/>
        <w:rPr>
          <w:rFonts w:ascii="Arial" w:hAnsi="Arial" w:cs="Arial"/>
          <w:sz w:val="22"/>
          <w:szCs w:val="22"/>
        </w:rPr>
      </w:pPr>
      <w:r>
        <w:rPr>
          <w:rFonts w:ascii="Arial" w:hAnsi="Arial" w:cs="Arial"/>
          <w:color w:val="548DD4" w:themeColor="text2" w:themeTint="99"/>
          <w:sz w:val="22"/>
          <w:szCs w:val="22"/>
        </w:rPr>
        <w:br w:type="page"/>
      </w:r>
      <w:r w:rsidR="002663A8" w:rsidRPr="002663A8">
        <w:rPr>
          <w:rFonts w:ascii="Arial" w:hAnsi="Arial" w:cs="Arial"/>
          <w:sz w:val="22"/>
          <w:szCs w:val="22"/>
        </w:rPr>
        <w:lastRenderedPageBreak/>
        <w:t>2.</w:t>
      </w:r>
      <w:r w:rsidR="002663A8" w:rsidRPr="002663A8">
        <w:rPr>
          <w:rFonts w:ascii="Arial" w:hAnsi="Arial" w:cs="Arial"/>
          <w:sz w:val="22"/>
          <w:szCs w:val="22"/>
        </w:rPr>
        <w:tab/>
        <w:t xml:space="preserve">What is the proportion of Commonwealth and Territory government funding for the </w:t>
      </w:r>
      <w:r>
        <w:rPr>
          <w:rFonts w:ascii="Arial" w:hAnsi="Arial" w:cs="Arial"/>
          <w:sz w:val="22"/>
          <w:szCs w:val="22"/>
        </w:rPr>
        <w:tab/>
      </w:r>
      <w:r w:rsidR="002663A8" w:rsidRPr="002663A8">
        <w:rPr>
          <w:rFonts w:ascii="Arial" w:hAnsi="Arial" w:cs="Arial"/>
          <w:sz w:val="22"/>
          <w:szCs w:val="22"/>
        </w:rPr>
        <w:t>Alcohol Policy portfolio area in each of 2011</w:t>
      </w:r>
      <w:r w:rsidR="002663A8" w:rsidRPr="002663A8">
        <w:rPr>
          <w:rFonts w:ascii="Arial" w:hAnsi="Arial" w:cs="Arial"/>
          <w:sz w:val="22"/>
          <w:szCs w:val="22"/>
        </w:rPr>
        <w:noBreakHyphen/>
        <w:t>12, 2012</w:t>
      </w:r>
      <w:r w:rsidR="002663A8" w:rsidRPr="002663A8">
        <w:rPr>
          <w:rFonts w:ascii="Arial" w:hAnsi="Arial" w:cs="Arial"/>
          <w:sz w:val="22"/>
          <w:szCs w:val="22"/>
        </w:rPr>
        <w:noBreakHyphen/>
        <w:t>13, 2013</w:t>
      </w:r>
      <w:r w:rsidR="002663A8" w:rsidRPr="002663A8">
        <w:rPr>
          <w:rFonts w:ascii="Arial" w:hAnsi="Arial" w:cs="Arial"/>
          <w:sz w:val="22"/>
          <w:szCs w:val="22"/>
        </w:rPr>
        <w:noBreakHyphen/>
        <w:t>14 and 2014</w:t>
      </w:r>
      <w:r w:rsidR="002663A8" w:rsidRPr="002663A8">
        <w:rPr>
          <w:rFonts w:ascii="Arial" w:hAnsi="Arial" w:cs="Arial"/>
          <w:sz w:val="22"/>
          <w:szCs w:val="22"/>
        </w:rPr>
        <w:noBreakHyphen/>
        <w:t>15?</w:t>
      </w:r>
    </w:p>
    <w:p w:rsidR="002663A8" w:rsidRPr="00F94C94" w:rsidRDefault="002663A8" w:rsidP="00F94C94">
      <w:pPr>
        <w:ind w:left="851" w:hanging="426"/>
        <w:jc w:val="both"/>
        <w:rPr>
          <w:rFonts w:ascii="Arial" w:hAnsi="Arial" w:cs="Arial"/>
          <w:color w:val="0070C0"/>
          <w:sz w:val="22"/>
          <w:szCs w:val="22"/>
        </w:rPr>
      </w:pPr>
    </w:p>
    <w:p w:rsidR="00F94C94" w:rsidRPr="00F94C94" w:rsidRDefault="00F94C94" w:rsidP="00F94C94">
      <w:pPr>
        <w:spacing w:after="200" w:line="276" w:lineRule="auto"/>
        <w:ind w:left="851" w:hanging="426"/>
        <w:rPr>
          <w:rFonts w:ascii="Calibri" w:eastAsia="Calibri" w:hAnsi="Calibri"/>
          <w:color w:val="0070C0"/>
          <w:lang w:eastAsia="en-US"/>
        </w:rPr>
      </w:pPr>
      <w:r w:rsidRPr="00F94C94">
        <w:rPr>
          <w:rFonts w:ascii="Calibri" w:eastAsia="Calibri" w:hAnsi="Calibri"/>
          <w:color w:val="0070C0"/>
          <w:lang w:eastAsia="en-US"/>
        </w:rPr>
        <w:t xml:space="preserve">                                                                </w:t>
      </w:r>
      <w:r w:rsidRPr="00F94C94">
        <w:rPr>
          <w:rFonts w:ascii="Calibri" w:eastAsia="Calibri" w:hAnsi="Calibri"/>
          <w:b/>
          <w:color w:val="0070C0"/>
          <w:lang w:eastAsia="en-US"/>
        </w:rPr>
        <w:t>2013-14</w:t>
      </w:r>
      <w:r w:rsidRPr="00F94C94">
        <w:rPr>
          <w:rFonts w:ascii="Calibri" w:eastAsia="Calibri" w:hAnsi="Calibri"/>
          <w:color w:val="0070C0"/>
          <w:lang w:eastAsia="en-US"/>
        </w:rPr>
        <w:t xml:space="preserve">                  </w:t>
      </w:r>
      <w:r w:rsidRPr="00F94C94">
        <w:rPr>
          <w:rFonts w:ascii="Calibri" w:eastAsia="Calibri" w:hAnsi="Calibri"/>
          <w:b/>
          <w:color w:val="0070C0"/>
          <w:lang w:eastAsia="en-US"/>
        </w:rPr>
        <w:t>2014-15</w:t>
      </w:r>
    </w:p>
    <w:p w:rsidR="00F94C94" w:rsidRPr="00F94C94" w:rsidRDefault="00F94C94" w:rsidP="00F94C94">
      <w:pPr>
        <w:spacing w:after="200" w:line="276" w:lineRule="auto"/>
        <w:ind w:left="851" w:hanging="426"/>
        <w:rPr>
          <w:rFonts w:ascii="Calibri" w:eastAsia="Calibri" w:hAnsi="Calibri"/>
          <w:color w:val="0070C0"/>
          <w:lang w:eastAsia="en-US"/>
        </w:rPr>
      </w:pPr>
      <w:r w:rsidRPr="00F94C94">
        <w:rPr>
          <w:rFonts w:ascii="Calibri" w:eastAsia="Calibri" w:hAnsi="Calibri"/>
          <w:color w:val="0070C0"/>
          <w:lang w:eastAsia="en-US"/>
        </w:rPr>
        <w:t>NT Funding                                         $1,250,000             $   825,000</w:t>
      </w:r>
    </w:p>
    <w:p w:rsidR="00F94C94" w:rsidRPr="00F94C94" w:rsidRDefault="00F94C94" w:rsidP="00F94C94">
      <w:pPr>
        <w:spacing w:after="200" w:line="276" w:lineRule="auto"/>
        <w:ind w:left="851" w:hanging="426"/>
        <w:rPr>
          <w:rFonts w:ascii="Calibri" w:eastAsia="Calibri" w:hAnsi="Calibri"/>
          <w:color w:val="0070C0"/>
          <w:lang w:eastAsia="en-US"/>
        </w:rPr>
      </w:pPr>
      <w:r w:rsidRPr="00F94C94">
        <w:rPr>
          <w:rFonts w:ascii="Calibri" w:eastAsia="Calibri" w:hAnsi="Calibri"/>
          <w:color w:val="0070C0"/>
          <w:lang w:eastAsia="en-US"/>
        </w:rPr>
        <w:t>Commonwealth Funding                 $2,281,000             $2,825,000</w:t>
      </w:r>
    </w:p>
    <w:p w:rsidR="00F94C94" w:rsidRPr="00F94C94" w:rsidRDefault="00F94C94" w:rsidP="00F94C94">
      <w:pPr>
        <w:spacing w:after="200" w:line="276" w:lineRule="auto"/>
        <w:ind w:left="851" w:hanging="426"/>
        <w:rPr>
          <w:rFonts w:ascii="Calibri" w:eastAsia="Calibri" w:hAnsi="Calibri"/>
          <w:color w:val="0070C0"/>
          <w:lang w:eastAsia="en-US"/>
        </w:rPr>
      </w:pPr>
      <w:r w:rsidRPr="00F94C94">
        <w:rPr>
          <w:rFonts w:ascii="Calibri" w:eastAsia="Calibri" w:hAnsi="Calibri"/>
          <w:color w:val="0070C0"/>
          <w:lang w:eastAsia="en-US"/>
        </w:rPr>
        <w:t>Total                                                    $3,531,000             $3,650,000</w:t>
      </w:r>
    </w:p>
    <w:p w:rsidR="00F94C94" w:rsidRPr="00F94C94" w:rsidRDefault="00F94C94" w:rsidP="00F94C94">
      <w:pPr>
        <w:spacing w:after="200" w:line="276" w:lineRule="auto"/>
        <w:ind w:left="426"/>
        <w:rPr>
          <w:rFonts w:ascii="Calibri" w:hAnsi="Calibri"/>
          <w:color w:val="0070C0"/>
          <w:lang w:eastAsia="en-US"/>
        </w:rPr>
      </w:pPr>
      <w:r w:rsidRPr="00F94C94">
        <w:rPr>
          <w:rFonts w:ascii="Calibri" w:hAnsi="Calibri"/>
          <w:color w:val="0070C0"/>
          <w:lang w:eastAsia="en-US"/>
        </w:rPr>
        <w:t xml:space="preserve">This portfolio was transferred to the Department of Business during 2013-14. The agency does not have the historical data to provide the details for prior years. </w:t>
      </w:r>
    </w:p>
    <w:p w:rsidR="00F94C94" w:rsidRPr="002663A8" w:rsidRDefault="00F94C94" w:rsidP="002663A8">
      <w:pPr>
        <w:ind w:left="426" w:hanging="426"/>
        <w:jc w:val="both"/>
        <w:rPr>
          <w:rFonts w:ascii="Arial" w:hAnsi="Arial" w:cs="Arial"/>
          <w:sz w:val="22"/>
          <w:szCs w:val="22"/>
        </w:rPr>
      </w:pPr>
    </w:p>
    <w:p w:rsidR="002663A8" w:rsidRDefault="002663A8" w:rsidP="002663A8">
      <w:pPr>
        <w:ind w:left="426" w:hanging="426"/>
        <w:jc w:val="both"/>
        <w:rPr>
          <w:rFonts w:ascii="Arial" w:hAnsi="Arial" w:cs="Arial"/>
          <w:sz w:val="22"/>
          <w:szCs w:val="22"/>
        </w:rPr>
      </w:pPr>
      <w:r w:rsidRPr="002663A8">
        <w:rPr>
          <w:rFonts w:ascii="Arial" w:hAnsi="Arial" w:cs="Arial"/>
          <w:sz w:val="22"/>
          <w:szCs w:val="22"/>
        </w:rPr>
        <w:t>3.</w:t>
      </w:r>
      <w:r w:rsidRPr="002663A8">
        <w:rPr>
          <w:rFonts w:ascii="Arial" w:hAnsi="Arial" w:cs="Arial"/>
          <w:sz w:val="22"/>
          <w:szCs w:val="22"/>
        </w:rPr>
        <w:tab/>
        <w:t>Please provide a breakdown of who received community benefit fund grants in 2013</w:t>
      </w:r>
      <w:r w:rsidRPr="002663A8">
        <w:rPr>
          <w:rFonts w:ascii="Arial" w:hAnsi="Arial" w:cs="Arial"/>
          <w:sz w:val="22"/>
          <w:szCs w:val="22"/>
        </w:rPr>
        <w:noBreakHyphen/>
        <w:t>14 and how much they received.</w:t>
      </w:r>
    </w:p>
    <w:p w:rsidR="00663157" w:rsidRDefault="00663157" w:rsidP="002663A8">
      <w:pPr>
        <w:ind w:left="426" w:hanging="426"/>
        <w:jc w:val="both"/>
        <w:rPr>
          <w:rFonts w:ascii="Arial" w:hAnsi="Arial" w:cs="Arial"/>
          <w:sz w:val="22"/>
          <w:szCs w:val="22"/>
        </w:rPr>
      </w:pPr>
    </w:p>
    <w:p w:rsidR="00663157" w:rsidRPr="00663157" w:rsidRDefault="00663157" w:rsidP="00663157">
      <w:pPr>
        <w:ind w:left="426" w:hanging="426"/>
        <w:jc w:val="both"/>
        <w:rPr>
          <w:rFonts w:ascii="Arial" w:hAnsi="Arial" w:cs="Arial"/>
          <w:color w:val="0070C0"/>
          <w:sz w:val="22"/>
          <w:szCs w:val="22"/>
        </w:rPr>
      </w:pPr>
      <w:r>
        <w:rPr>
          <w:rFonts w:ascii="Arial" w:hAnsi="Arial" w:cs="Arial"/>
          <w:sz w:val="22"/>
          <w:szCs w:val="22"/>
        </w:rPr>
        <w:tab/>
      </w:r>
      <w:r w:rsidRPr="00663157">
        <w:rPr>
          <w:rFonts w:ascii="Arial" w:hAnsi="Arial" w:cs="Arial"/>
          <w:color w:val="0070C0"/>
          <w:sz w:val="22"/>
          <w:szCs w:val="22"/>
        </w:rPr>
        <w:t>Community Benefit Fund</w:t>
      </w:r>
      <w:r>
        <w:rPr>
          <w:rFonts w:ascii="Arial" w:hAnsi="Arial" w:cs="Arial"/>
          <w:color w:val="0070C0"/>
          <w:sz w:val="22"/>
          <w:szCs w:val="22"/>
        </w:rPr>
        <w:t xml:space="preserve"> g</w:t>
      </w:r>
      <w:r w:rsidRPr="00663157">
        <w:rPr>
          <w:rFonts w:ascii="Arial" w:hAnsi="Arial" w:cs="Arial"/>
          <w:color w:val="0070C0"/>
          <w:sz w:val="22"/>
          <w:szCs w:val="22"/>
        </w:rPr>
        <w:t>rants paid between 1 July 2013 and 31 March 2014</w:t>
      </w:r>
      <w:r>
        <w:rPr>
          <w:rFonts w:ascii="Arial" w:hAnsi="Arial" w:cs="Arial"/>
          <w:color w:val="0070C0"/>
          <w:sz w:val="22"/>
          <w:szCs w:val="22"/>
        </w:rPr>
        <w:t>.</w:t>
      </w:r>
    </w:p>
    <w:p w:rsidR="002663A8" w:rsidRDefault="002663A8" w:rsidP="002663A8">
      <w:pPr>
        <w:ind w:left="426" w:hanging="426"/>
        <w:jc w:val="both"/>
        <w:rPr>
          <w:rFonts w:ascii="Arial" w:hAnsi="Arial" w:cs="Arial"/>
          <w:sz w:val="22"/>
          <w:szCs w:val="22"/>
        </w:rPr>
      </w:pPr>
    </w:p>
    <w:tbl>
      <w:tblPr>
        <w:tblW w:w="10380" w:type="dxa"/>
        <w:jc w:val="center"/>
        <w:tblInd w:w="93" w:type="dxa"/>
        <w:tblLook w:val="04A0" w:firstRow="1" w:lastRow="0" w:firstColumn="1" w:lastColumn="0" w:noHBand="0" w:noVBand="1"/>
      </w:tblPr>
      <w:tblGrid>
        <w:gridCol w:w="4106"/>
        <w:gridCol w:w="4856"/>
        <w:gridCol w:w="1418"/>
      </w:tblGrid>
      <w:tr w:rsidR="00663157" w:rsidTr="00663157">
        <w:trPr>
          <w:trHeight w:val="330"/>
          <w:jc w:val="center"/>
        </w:trPr>
        <w:tc>
          <w:tcPr>
            <w:tcW w:w="10380" w:type="dxa"/>
            <w:gridSpan w:val="3"/>
            <w:tcBorders>
              <w:top w:val="single" w:sz="8" w:space="0" w:color="auto"/>
              <w:left w:val="single" w:sz="8" w:space="0" w:color="auto"/>
              <w:bottom w:val="single" w:sz="8" w:space="0" w:color="auto"/>
              <w:right w:val="single" w:sz="8" w:space="0" w:color="000000"/>
            </w:tcBorders>
            <w:shd w:val="clear" w:color="000000" w:fill="D9D9D9"/>
            <w:hideMark/>
          </w:tcPr>
          <w:p w:rsidR="00663157" w:rsidRDefault="00663157">
            <w:pPr>
              <w:jc w:val="center"/>
              <w:rPr>
                <w:rFonts w:ascii="Arial" w:hAnsi="Arial" w:cs="Arial"/>
                <w:b/>
                <w:bCs/>
                <w:color w:val="000000"/>
              </w:rPr>
            </w:pPr>
            <w:r>
              <w:rPr>
                <w:rFonts w:ascii="Arial" w:hAnsi="Arial" w:cs="Arial"/>
                <w:b/>
                <w:bCs/>
                <w:color w:val="000000"/>
              </w:rPr>
              <w:t>2012-13 Small Grants paid in 2013-14</w:t>
            </w:r>
          </w:p>
        </w:tc>
      </w:tr>
      <w:tr w:rsidR="00663157" w:rsidTr="00A63D12">
        <w:trPr>
          <w:trHeight w:val="330"/>
          <w:jc w:val="center"/>
        </w:trPr>
        <w:tc>
          <w:tcPr>
            <w:tcW w:w="4106" w:type="dxa"/>
            <w:tcBorders>
              <w:top w:val="nil"/>
              <w:left w:val="single" w:sz="8" w:space="0" w:color="auto"/>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Organisation</w:t>
            </w:r>
          </w:p>
        </w:tc>
        <w:tc>
          <w:tcPr>
            <w:tcW w:w="4856" w:type="dxa"/>
            <w:tcBorders>
              <w:top w:val="nil"/>
              <w:left w:val="nil"/>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Purpose</w:t>
            </w:r>
          </w:p>
        </w:tc>
        <w:tc>
          <w:tcPr>
            <w:tcW w:w="1418" w:type="dxa"/>
            <w:tcBorders>
              <w:top w:val="nil"/>
              <w:left w:val="nil"/>
              <w:bottom w:val="single" w:sz="8" w:space="0" w:color="auto"/>
              <w:right w:val="single" w:sz="8"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Amount</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Guide Dogs Association of SA and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Travel and guide dogs camp expense. </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Wadeye Safe House - CSSU</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Host a Community Co-Operative.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$4,357</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Darwin Film Society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cover costs associated with the Deckchair Cinema Security Upgrade.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Gundjeihmi</w:t>
            </w:r>
            <w:proofErr w:type="spellEnd"/>
            <w:r>
              <w:rPr>
                <w:rFonts w:ascii="Arial" w:hAnsi="Arial" w:cs="Arial"/>
                <w:color w:val="000000"/>
                <w:sz w:val="20"/>
                <w:szCs w:val="20"/>
              </w:rPr>
              <w:t xml:space="preserve"> Aboriginal Corporation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hardware and software to produce ID Cards.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Palmerston Volunteer Unit (NTES)</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two pole saws and accessories for storm and cyclone damage responses.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$2,396</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Top End Practical Shooting League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(TEPSL)</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Manufacture of blue road signs.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$2,019</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Territory Craft Katherine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of camera, </w:t>
            </w:r>
            <w:proofErr w:type="spellStart"/>
            <w:r>
              <w:rPr>
                <w:rFonts w:ascii="Arial" w:hAnsi="Arial" w:cs="Arial"/>
                <w:color w:val="000000"/>
                <w:sz w:val="20"/>
                <w:szCs w:val="20"/>
              </w:rPr>
              <w:t>dyecutting</w:t>
            </w:r>
            <w:proofErr w:type="spellEnd"/>
            <w:r>
              <w:rPr>
                <w:rFonts w:ascii="Arial" w:hAnsi="Arial" w:cs="Arial"/>
                <w:color w:val="000000"/>
                <w:sz w:val="20"/>
                <w:szCs w:val="20"/>
              </w:rPr>
              <w:t xml:space="preserve"> machine, dyes and electric kiln to aid in community workshops.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$4,090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Longreach Cricket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Funding to participate in two annual cricket carnivals.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Barkly Shire Council </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Sponsor six players to try out for NT Thunder.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Network Tindal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Cover the costs of venue hire, catering, entertainment and decorations for an event supporting RAAF families to become connected to their new postings.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Dripstone Children's Centre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Assist with the purchase of outdoor play equipment for the 0-2 year age group.</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$2,250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Litchfield Orchid Club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Stands for displaying orchids at monthly meetings, displays, </w:t>
            </w:r>
            <w:proofErr w:type="gramStart"/>
            <w:r>
              <w:rPr>
                <w:rFonts w:ascii="Arial" w:hAnsi="Arial" w:cs="Arial"/>
                <w:color w:val="000000"/>
                <w:sz w:val="20"/>
                <w:szCs w:val="20"/>
              </w:rPr>
              <w:t>stall</w:t>
            </w:r>
            <w:proofErr w:type="gramEnd"/>
            <w:r>
              <w:rPr>
                <w:rFonts w:ascii="Arial" w:hAnsi="Arial" w:cs="Arial"/>
                <w:color w:val="000000"/>
                <w:sz w:val="20"/>
                <w:szCs w:val="20"/>
              </w:rPr>
              <w:t xml:space="preserve"> and at the NT Orchid Spectacular.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$1,350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Tennant Creek Returned &amp; Services League Sub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a solar power system.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Katherine Turf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ground maintenance equipment including mower, trimmer, rakes, shovels, blower and 60lt towable spray unit.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$4,463</w:t>
            </w:r>
          </w:p>
        </w:tc>
      </w:tr>
      <w:tr w:rsidR="00663157" w:rsidTr="00A63D12">
        <w:trPr>
          <w:trHeight w:val="1020"/>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lastRenderedPageBreak/>
              <w:t>Green Snaps Nature Photography Competition</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cover the costs associated with the opening ceremony of the Green Snaps NT nature photography competition and exhibition, including drinks, nibbles, advertising and to contract a project officer.</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$3,795</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Royal Life Saving Society (Australia) NT Branch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Establish a Lifesaving Club at Borroloola.</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YMCA of Central Australia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cover costs associated with the updating of the existing rock wall including training, facility and equipment and programs for public and school use.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St Luke's Anglican Church Palmerston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Cover the costs for the St. Luke's Anglican Church Street Party including jumping castle, sound system, puppet show and the hire of tables, chairs etc.</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$1,035</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Environmental Defenders Office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one desktop computer and an additional modem to network computers.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$1,958</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Catholic Care NT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Christmas for Kids Family Fun Day 2013.</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Alice Springs Golf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Publish a map of suitable walking trails and install solar lights along these trails.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Beatrice Hill Volunteer Bushfire Brigade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gravel, fridge, freezer, shelving and fire bugs.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$2,950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Autism Northern Territory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promotional materials to raise awareness of autism.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Back to Batchelor 60 Year Celebrations Committee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Back to Batchelor 60 year celebration events.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$3,569</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Darwin Film Society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small commercial ice machine for the Kiosk.</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$3,950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The Environment Centre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HD video camera and tripod.</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Family Planning Welfare Association of the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health promotional resources.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$3,750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Groote Eylandt &amp; </w:t>
            </w:r>
            <w:proofErr w:type="spellStart"/>
            <w:r>
              <w:rPr>
                <w:rFonts w:ascii="Arial" w:hAnsi="Arial" w:cs="Arial"/>
                <w:color w:val="000000"/>
                <w:sz w:val="20"/>
                <w:szCs w:val="20"/>
              </w:rPr>
              <w:t>Milyakburra</w:t>
            </w:r>
            <w:proofErr w:type="spellEnd"/>
            <w:r>
              <w:rPr>
                <w:rFonts w:ascii="Arial" w:hAnsi="Arial" w:cs="Arial"/>
                <w:color w:val="000000"/>
                <w:sz w:val="20"/>
                <w:szCs w:val="20"/>
              </w:rPr>
              <w:t xml:space="preserve"> Youth Development Unit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(GEMYDU)</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6 computers, programs, printer and modem router.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Katherine Community Radio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Replace two </w:t>
            </w:r>
            <w:proofErr w:type="spellStart"/>
            <w:r>
              <w:rPr>
                <w:rFonts w:ascii="Arial" w:hAnsi="Arial" w:cs="Arial"/>
                <w:color w:val="000000"/>
                <w:sz w:val="20"/>
                <w:szCs w:val="20"/>
              </w:rPr>
              <w:t>airconditioners</w:t>
            </w:r>
            <w:proofErr w:type="spellEnd"/>
            <w:r>
              <w:rPr>
                <w:rFonts w:ascii="Arial" w:hAnsi="Arial" w:cs="Arial"/>
                <w:color w:val="000000"/>
                <w:sz w:val="20"/>
                <w:szCs w:val="20"/>
              </w:rPr>
              <w: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Rince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na</w:t>
            </w:r>
            <w:proofErr w:type="spellEnd"/>
            <w:r>
              <w:rPr>
                <w:rFonts w:ascii="Arial" w:hAnsi="Arial" w:cs="Arial"/>
                <w:color w:val="000000"/>
                <w:sz w:val="20"/>
                <w:szCs w:val="20"/>
              </w:rPr>
              <w:t xml:space="preserve"> </w:t>
            </w:r>
            <w:proofErr w:type="spellStart"/>
            <w:r>
              <w:rPr>
                <w:rFonts w:ascii="Arial" w:hAnsi="Arial" w:cs="Arial"/>
                <w:color w:val="000000"/>
                <w:sz w:val="20"/>
                <w:szCs w:val="20"/>
              </w:rPr>
              <w:t>h'Eireann</w:t>
            </w:r>
            <w:proofErr w:type="spellEnd"/>
            <w:r>
              <w:rPr>
                <w:rFonts w:ascii="Arial" w:hAnsi="Arial" w:cs="Arial"/>
                <w:color w:val="000000"/>
                <w:sz w:val="20"/>
                <w:szCs w:val="20"/>
              </w:rPr>
              <w:t xml:space="preserve"> Darwin Irish Dance Association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costumes for end of year concert.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Humpty Doo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two fridges, camping equipment, solar panels, hiking tents and a GPS.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Woorabinda Scout Camp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6 </w:t>
            </w:r>
            <w:proofErr w:type="gramStart"/>
            <w:r>
              <w:rPr>
                <w:rFonts w:ascii="Arial" w:hAnsi="Arial" w:cs="Arial"/>
                <w:color w:val="000000"/>
                <w:sz w:val="20"/>
                <w:szCs w:val="20"/>
              </w:rPr>
              <w:t>hand</w:t>
            </w:r>
            <w:proofErr w:type="gramEnd"/>
            <w:r>
              <w:rPr>
                <w:rFonts w:ascii="Arial" w:hAnsi="Arial" w:cs="Arial"/>
                <w:color w:val="000000"/>
                <w:sz w:val="20"/>
                <w:szCs w:val="20"/>
              </w:rPr>
              <w:t xml:space="preserve"> held UHF radio's with mass charger port.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$3,675</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Scouts Association of Australia Northern Territory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Refurbish drinks trailer and purchase 3 </w:t>
            </w:r>
            <w:proofErr w:type="spellStart"/>
            <w:r>
              <w:rPr>
                <w:rFonts w:ascii="Arial" w:hAnsi="Arial" w:cs="Arial"/>
                <w:color w:val="000000"/>
                <w:sz w:val="20"/>
                <w:szCs w:val="20"/>
              </w:rPr>
              <w:t>eskies</w:t>
            </w:r>
            <w:proofErr w:type="spellEnd"/>
            <w:r>
              <w:rPr>
                <w:rFonts w:ascii="Arial" w:hAnsi="Arial" w:cs="Arial"/>
                <w:color w:val="000000"/>
                <w:sz w:val="20"/>
                <w:szCs w:val="20"/>
              </w:rPr>
              <w: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$4,620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Scouts Australia Institute of Training NT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Partake in a canoe training course, purchase of canoe's, paddles and personal flotation devices.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$4,570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Step Out Community Access Service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Removal and reduction of trees surrounding building.</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Total Recreation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Hold an arts and crafts program for 6 weeks.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Berrimah Riding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show jumping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$2,100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Children's Services Support Program (Central Australia)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new photocopier.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Dundee Volunteer Bushfire Brigade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Rehabilitation of Legacy's Rubbish pit for use as HQ.</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$3,300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Genealogical Society of the Northern Territory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and install a new computer system.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$2,029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Kiwanis Club of Casuarina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trailer and stainless steel BBQ.</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$2,819</w:t>
            </w:r>
          </w:p>
        </w:tc>
      </w:tr>
      <w:tr w:rsidR="00663157" w:rsidTr="00A63D12">
        <w:trPr>
          <w:trHeight w:val="510"/>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lastRenderedPageBreak/>
              <w:t xml:space="preserve">Northern Territory Multiple Birth Club </w:t>
            </w:r>
            <w:proofErr w:type="spellStart"/>
            <w:r>
              <w:rPr>
                <w:rFonts w:ascii="Arial" w:hAnsi="Arial" w:cs="Arial"/>
                <w:color w:val="000000"/>
                <w:sz w:val="20"/>
                <w:szCs w:val="20"/>
              </w:rPr>
              <w:t>Inc</w:t>
            </w:r>
            <w:proofErr w:type="spellEnd"/>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toys for 0-4 year olds and to rebuild the website.</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Tracks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Design and purchase two (2) pull-up banners and to purchase a TV.</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$3,960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Batchelor Museum Development Association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Archive of exhibits and purchase items required for archiving.</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$3,850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Engineers Australia Northern Division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Launch an Engineering Heritage Brochure in the Tennant Creek region.</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$3,344</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Network Tindal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of editing software.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$1,836</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U3A Darwin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Cover costs of bus hire, CDU visit, morning tea and museum visits.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$2,636</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Virginia Riding Club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equipment and resources.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$4,111</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Alice Springs Volunteer Bushfire Brigade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fire lighter wands, gloves and goggles.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$4,433</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Alice Springs Swimming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Send team members and officials to the 2014 NT Championships in Darwin.</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Captain Cook Community Centre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the centre's car park and traffic management.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Girl Guides NT Incorporated - Alice Springs</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Leadership development camp.</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Nhulunbuy Regional Sports Fishing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and installation of a high quality, long throw projector and screen.</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Northern Territory Game Fishing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materials to run junior fishing clinics.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Australian </w:t>
            </w:r>
            <w:proofErr w:type="spellStart"/>
            <w:r>
              <w:rPr>
                <w:rFonts w:ascii="Arial" w:hAnsi="Arial" w:cs="Arial"/>
                <w:color w:val="000000"/>
                <w:sz w:val="20"/>
                <w:szCs w:val="20"/>
              </w:rPr>
              <w:t>Sepak</w:t>
            </w:r>
            <w:proofErr w:type="spellEnd"/>
            <w:r>
              <w:rPr>
                <w:rFonts w:ascii="Arial" w:hAnsi="Arial" w:cs="Arial"/>
                <w:color w:val="000000"/>
                <w:sz w:val="20"/>
                <w:szCs w:val="20"/>
              </w:rPr>
              <w:t xml:space="preserve"> </w:t>
            </w:r>
            <w:proofErr w:type="spellStart"/>
            <w:r>
              <w:rPr>
                <w:rFonts w:ascii="Arial" w:hAnsi="Arial" w:cs="Arial"/>
                <w:color w:val="000000"/>
                <w:sz w:val="20"/>
                <w:szCs w:val="20"/>
              </w:rPr>
              <w:t>Takraw</w:t>
            </w:r>
            <w:proofErr w:type="spellEnd"/>
            <w:r>
              <w:rPr>
                <w:rFonts w:ascii="Arial" w:hAnsi="Arial" w:cs="Arial"/>
                <w:color w:val="000000"/>
                <w:sz w:val="20"/>
                <w:szCs w:val="20"/>
              </w:rPr>
              <w:t xml:space="preserve"> </w:t>
            </w:r>
            <w:proofErr w:type="spellStart"/>
            <w:r>
              <w:rPr>
                <w:rFonts w:ascii="Arial" w:hAnsi="Arial" w:cs="Arial"/>
                <w:color w:val="000000"/>
                <w:sz w:val="20"/>
                <w:szCs w:val="20"/>
              </w:rPr>
              <w:t>Accociation</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Sport development project.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Dundee Social &amp; Recreation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a marquee.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Nhulunbuy Playgroup Association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Upgrade to fencing and </w:t>
            </w:r>
            <w:proofErr w:type="spellStart"/>
            <w:r>
              <w:rPr>
                <w:rFonts w:ascii="Arial" w:hAnsi="Arial" w:cs="Arial"/>
                <w:color w:val="000000"/>
                <w:sz w:val="20"/>
                <w:szCs w:val="20"/>
              </w:rPr>
              <w:t>carpark</w:t>
            </w:r>
            <w:proofErr w:type="spellEnd"/>
            <w:r>
              <w:rPr>
                <w:rFonts w:ascii="Arial" w:hAnsi="Arial" w:cs="Arial"/>
                <w:color w:val="000000"/>
                <w:sz w:val="20"/>
                <w:szCs w:val="20"/>
              </w:rPr>
              <w: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Alice Springs Tennis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racquet stringing machine and 4 new tennis nets.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$3,995</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East Darwin Hockey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training equipment, club walkout shirts and RSA training fees.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RDA Alice Springs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Build a disability access veranda to replace the ramps to the clubhouse.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Jabiru Childcare Centre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equipment and resources.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Desert Sports Foundation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Costs for the 'League of Champions' Inductions Dinner and to develop a website.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$3,300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Palmerston Football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ride on mower and shade pergola's.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Coomalie</w:t>
            </w:r>
            <w:proofErr w:type="spellEnd"/>
            <w:r>
              <w:rPr>
                <w:rFonts w:ascii="Arial" w:hAnsi="Arial" w:cs="Arial"/>
                <w:color w:val="000000"/>
                <w:sz w:val="20"/>
                <w:szCs w:val="20"/>
              </w:rPr>
              <w:t xml:space="preserve">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camping and hiking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Tracy Village Women's Football Team</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Cover travel expenses for players from remote areas.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Tracy Village Women's Football Team</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Cover the cost of medical trainers and purchase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Litchfield Football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line marking machine and goal nets.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$2,365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Nightcliff Rugby League Football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medical treatment table and kit.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$848</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rsidP="005176FB">
            <w:pPr>
              <w:rPr>
                <w:rFonts w:ascii="Arial" w:hAnsi="Arial" w:cs="Arial"/>
                <w:color w:val="000000"/>
                <w:sz w:val="20"/>
                <w:szCs w:val="20"/>
              </w:rPr>
            </w:pPr>
            <w:r>
              <w:rPr>
                <w:rFonts w:ascii="Arial" w:hAnsi="Arial" w:cs="Arial"/>
                <w:color w:val="000000"/>
                <w:sz w:val="20"/>
                <w:szCs w:val="20"/>
              </w:rPr>
              <w:t>Arnhe</w:t>
            </w:r>
            <w:bookmarkStart w:id="0" w:name="_GoBack"/>
            <w:bookmarkEnd w:id="0"/>
            <w:r>
              <w:rPr>
                <w:rFonts w:ascii="Arial" w:hAnsi="Arial" w:cs="Arial"/>
                <w:color w:val="000000"/>
                <w:sz w:val="20"/>
                <w:szCs w:val="20"/>
              </w:rPr>
              <w:t>m Crows Women's Basketball</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equipment and uniforms.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The Alice Springs Theatre Group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Tag and test of all equipment and purchase basic sound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Acacia Hills Volunteer Bushfire Brigade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hand held two way radios.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Acacia Hills Volunteer Bushfire Brigade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2 double glass door fridges.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Acacia Hills Volunteer Bushfire Brigade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base radios.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Friends of Darwin High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Activities marking 50 years at Bullocky Point.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$4,930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NT Breast Cancer Voice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4 breast models for clinics in Jabiru.</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Food Care NT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Funding towards Growing and Understanding Local Produce project.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$2,700</w:t>
            </w:r>
          </w:p>
        </w:tc>
      </w:tr>
      <w:tr w:rsidR="00663157" w:rsidTr="00A63D12">
        <w:trPr>
          <w:trHeight w:val="510"/>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lastRenderedPageBreak/>
              <w:t xml:space="preserve">Masters Australian Football NT </w:t>
            </w:r>
            <w:proofErr w:type="spellStart"/>
            <w:r>
              <w:rPr>
                <w:rFonts w:ascii="Arial" w:hAnsi="Arial" w:cs="Arial"/>
                <w:color w:val="000000"/>
                <w:sz w:val="20"/>
                <w:szCs w:val="20"/>
              </w:rPr>
              <w:t>Inc</w:t>
            </w:r>
            <w:proofErr w:type="spellEnd"/>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a defibrillator for the emergency first aid kit.</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Arafura Wind Ensemble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new drum kit and travel cases.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$4,740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Tracy Village Cricket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a new </w:t>
            </w:r>
            <w:proofErr w:type="spellStart"/>
            <w:r>
              <w:rPr>
                <w:rFonts w:ascii="Arial" w:hAnsi="Arial" w:cs="Arial"/>
                <w:color w:val="000000"/>
                <w:sz w:val="20"/>
                <w:szCs w:val="20"/>
              </w:rPr>
              <w:t>Masport</w:t>
            </w:r>
            <w:proofErr w:type="spellEnd"/>
            <w:r>
              <w:rPr>
                <w:rFonts w:ascii="Arial" w:hAnsi="Arial" w:cs="Arial"/>
                <w:color w:val="000000"/>
                <w:sz w:val="20"/>
                <w:szCs w:val="20"/>
              </w:rPr>
              <w:t xml:space="preserve"> Cylinder Mower.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$1,899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Darwin Show Jumping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Design, construction and installation of jump wing fill.</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Music and Movement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a trampoline.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$1,185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Mytime</w:t>
            </w:r>
            <w:proofErr w:type="spellEnd"/>
            <w:r>
              <w:rPr>
                <w:rFonts w:ascii="Arial" w:hAnsi="Arial" w:cs="Arial"/>
                <w:color w:val="000000"/>
                <w:sz w:val="20"/>
                <w:szCs w:val="20"/>
              </w:rPr>
              <w:t xml:space="preserve"> Disability Support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Jumping Castle with water play facilities.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$949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Tennant Creek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new toys, crafts and a storage kit.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$4,414</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Amoonguna</w:t>
            </w:r>
            <w:proofErr w:type="spellEnd"/>
            <w:r>
              <w:rPr>
                <w:rFonts w:ascii="Arial" w:hAnsi="Arial" w:cs="Arial"/>
                <w:color w:val="000000"/>
                <w:sz w:val="20"/>
                <w:szCs w:val="20"/>
              </w:rPr>
              <w:t xml:space="preserve"> Community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toys, crafts and furniture.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$1,910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Alice Springs Toddlers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stackable furniture.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$1,154</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Alice Springs </w:t>
            </w:r>
            <w:proofErr w:type="spellStart"/>
            <w:r>
              <w:rPr>
                <w:rFonts w:ascii="Arial" w:hAnsi="Arial" w:cs="Arial"/>
                <w:color w:val="000000"/>
                <w:sz w:val="20"/>
                <w:szCs w:val="20"/>
              </w:rPr>
              <w:t>Mytime</w:t>
            </w:r>
            <w:proofErr w:type="spellEnd"/>
            <w:r>
              <w:rPr>
                <w:rFonts w:ascii="Arial" w:hAnsi="Arial" w:cs="Arial"/>
                <w:color w:val="000000"/>
                <w:sz w:val="20"/>
                <w:szCs w:val="20"/>
              </w:rPr>
              <w:t xml:space="preserve"> Playgroup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garden shed for storage.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$1,197</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Alice Springs Play Connect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Jumping Castle with water play facilities.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$949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Howard Springs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Repairs to Scout Hall and to build storage systems.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Beatrice Hill Volunteer Bushfire Brigade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base radio, shade structure, 2 water pressure pumps and 3 tyres.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$3,300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The Darwin Ukulele </w:t>
            </w:r>
            <w:proofErr w:type="spellStart"/>
            <w:r>
              <w:rPr>
                <w:rFonts w:ascii="Arial" w:hAnsi="Arial" w:cs="Arial"/>
                <w:color w:val="000000"/>
                <w:sz w:val="20"/>
                <w:szCs w:val="20"/>
              </w:rPr>
              <w:t>Kollective</w:t>
            </w:r>
            <w:proofErr w:type="spellEnd"/>
            <w:r>
              <w:rPr>
                <w:rFonts w:ascii="Arial" w:hAnsi="Arial" w:cs="Arial"/>
                <w:color w:val="000000"/>
                <w:sz w:val="20"/>
                <w:szCs w:val="20"/>
              </w:rPr>
              <w:t xml:space="preserve"> AKA The Dukes</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flights and accommodation for interstate musicians.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University Bulls Cricket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Upgrade/maintain training nets and matting.</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The Gathering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of a Fridge/freezer, </w:t>
            </w:r>
            <w:proofErr w:type="gramStart"/>
            <w:r>
              <w:rPr>
                <w:rFonts w:ascii="Arial" w:hAnsi="Arial" w:cs="Arial"/>
                <w:color w:val="000000"/>
                <w:sz w:val="20"/>
                <w:szCs w:val="20"/>
              </w:rPr>
              <w:t>4 Box air-conditioner</w:t>
            </w:r>
            <w:proofErr w:type="gramEnd"/>
            <w:r>
              <w:rPr>
                <w:rFonts w:ascii="Arial" w:hAnsi="Arial" w:cs="Arial"/>
                <w:color w:val="000000"/>
                <w:sz w:val="20"/>
                <w:szCs w:val="20"/>
              </w:rPr>
              <w:t xml:space="preserve"> and a pool table.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$4,295</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Arthritis Foundation of the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Attend the Annual Chronic Disease Network Conference and host a morning tea for International Arthritis Day 2013.</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National Seniors Association Central Australian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3 desktop computers, laptop, tablet or </w:t>
            </w:r>
            <w:proofErr w:type="spellStart"/>
            <w:r>
              <w:rPr>
                <w:rFonts w:ascii="Arial" w:hAnsi="Arial" w:cs="Arial"/>
                <w:color w:val="000000"/>
                <w:sz w:val="20"/>
                <w:szCs w:val="20"/>
              </w:rPr>
              <w:t>ipad</w:t>
            </w:r>
            <w:proofErr w:type="spellEnd"/>
            <w:r>
              <w:rPr>
                <w:rFonts w:ascii="Arial" w:hAnsi="Arial" w:cs="Arial"/>
                <w:color w:val="000000"/>
                <w:sz w:val="20"/>
                <w:szCs w:val="20"/>
              </w:rPr>
              <w:t xml:space="preserve"> and modem.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National Disability Services Northern Territory</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Funding for airfares and accommodation for attendees of the DS NT Conference.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National Disability Services Northern Territory</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Assistance towards the 2013 launch of the NT Disability Service Awards.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Southern Districts Cricket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Provide floor coverings and furniture for new clubhouse.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National Seniors Australia Top End Branch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Assistance towards the annual Seniors Race Day at Fannie Bay Turf Club.</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Darwin River Volunteer Bushfire Brigade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new water pumps and two way radios.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Lakeside Drive Community Garden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Employ artists to enhance garden space, create a message board and craft outdoor furniture.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$4,200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Marngarr</w:t>
            </w:r>
            <w:proofErr w:type="spellEnd"/>
            <w:r>
              <w:rPr>
                <w:rFonts w:ascii="Arial" w:hAnsi="Arial" w:cs="Arial"/>
                <w:color w:val="000000"/>
                <w:sz w:val="20"/>
                <w:szCs w:val="20"/>
              </w:rPr>
              <w:t xml:space="preserve"> Resource Centre Aboriginal Corporation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Development of an informed Women's Network.</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$3,300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NT Water Ski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fund skiing events including coaching and training.</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25"/>
          <w:jc w:val="center"/>
        </w:trPr>
        <w:tc>
          <w:tcPr>
            <w:tcW w:w="4106" w:type="dxa"/>
            <w:tcBorders>
              <w:top w:val="nil"/>
              <w:left w:val="single" w:sz="8" w:space="0" w:color="auto"/>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Mindil</w:t>
            </w:r>
            <w:proofErr w:type="spellEnd"/>
            <w:r>
              <w:rPr>
                <w:rFonts w:ascii="Arial" w:hAnsi="Arial" w:cs="Arial"/>
                <w:color w:val="000000"/>
                <w:sz w:val="20"/>
                <w:szCs w:val="20"/>
              </w:rPr>
              <w:t xml:space="preserve"> Aces Soccer Club </w:t>
            </w:r>
            <w:proofErr w:type="spellStart"/>
            <w:r>
              <w:rPr>
                <w:rFonts w:ascii="Arial" w:hAnsi="Arial" w:cs="Arial"/>
                <w:color w:val="000000"/>
                <w:sz w:val="20"/>
                <w:szCs w:val="20"/>
              </w:rPr>
              <w:t>Inc</w:t>
            </w:r>
            <w:proofErr w:type="spellEnd"/>
          </w:p>
        </w:tc>
        <w:tc>
          <w:tcPr>
            <w:tcW w:w="4856" w:type="dxa"/>
            <w:tcBorders>
              <w:top w:val="nil"/>
              <w:left w:val="nil"/>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2 laptop computers, coaching and goalkeeping education sessions.</w:t>
            </w:r>
          </w:p>
        </w:tc>
        <w:tc>
          <w:tcPr>
            <w:tcW w:w="1418" w:type="dxa"/>
            <w:tcBorders>
              <w:top w:val="nil"/>
              <w:left w:val="nil"/>
              <w:bottom w:val="single" w:sz="8"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$2,750</w:t>
            </w:r>
          </w:p>
        </w:tc>
      </w:tr>
      <w:tr w:rsidR="00663157" w:rsidTr="00A63D12">
        <w:trPr>
          <w:trHeight w:val="270"/>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double" w:sz="6" w:space="0" w:color="auto"/>
              <w:right w:val="nil"/>
            </w:tcBorders>
            <w:shd w:val="clear" w:color="auto" w:fill="auto"/>
            <w:hideMark/>
          </w:tcPr>
          <w:p w:rsidR="00663157" w:rsidRDefault="00663157">
            <w:pPr>
              <w:jc w:val="right"/>
              <w:rPr>
                <w:rFonts w:ascii="Arial" w:hAnsi="Arial" w:cs="Arial"/>
                <w:b/>
                <w:bCs/>
                <w:color w:val="000000"/>
                <w:sz w:val="20"/>
                <w:szCs w:val="20"/>
              </w:rPr>
            </w:pPr>
            <w:r>
              <w:rPr>
                <w:rFonts w:ascii="Arial" w:hAnsi="Arial" w:cs="Arial"/>
                <w:b/>
                <w:bCs/>
                <w:color w:val="000000"/>
                <w:sz w:val="20"/>
                <w:szCs w:val="20"/>
              </w:rPr>
              <w:t>$333,596</w:t>
            </w:r>
          </w:p>
        </w:tc>
      </w:tr>
      <w:tr w:rsidR="00663157" w:rsidTr="00A63D12">
        <w:trPr>
          <w:trHeight w:val="285"/>
          <w:jc w:val="center"/>
        </w:trPr>
        <w:tc>
          <w:tcPr>
            <w:tcW w:w="4106" w:type="dxa"/>
            <w:tcBorders>
              <w:top w:val="nil"/>
              <w:left w:val="nil"/>
              <w:bottom w:val="nil"/>
              <w:right w:val="nil"/>
            </w:tcBorders>
            <w:shd w:val="clear" w:color="auto" w:fill="auto"/>
            <w:hideMark/>
          </w:tcPr>
          <w:p w:rsidR="00663157" w:rsidRDefault="00A63D12">
            <w:r>
              <w:br w:type="page"/>
            </w:r>
          </w:p>
          <w:p w:rsidR="00A63D12" w:rsidRDefault="00A63D12"/>
          <w:p w:rsidR="00A63D12" w:rsidRDefault="00A63D12"/>
          <w:p w:rsidR="00A63D12" w:rsidRDefault="00A63D12"/>
          <w:p w:rsidR="00A63D12" w:rsidRDefault="00A63D12"/>
          <w:p w:rsidR="00A63D12" w:rsidRDefault="00A63D12"/>
          <w:p w:rsidR="00A63D12" w:rsidRDefault="00A63D12">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r>
      <w:tr w:rsidR="00663157" w:rsidTr="00663157">
        <w:trPr>
          <w:trHeight w:val="330"/>
          <w:jc w:val="center"/>
        </w:trPr>
        <w:tc>
          <w:tcPr>
            <w:tcW w:w="10380" w:type="dxa"/>
            <w:gridSpan w:val="3"/>
            <w:tcBorders>
              <w:top w:val="single" w:sz="8" w:space="0" w:color="auto"/>
              <w:left w:val="single" w:sz="8" w:space="0" w:color="auto"/>
              <w:bottom w:val="single" w:sz="8" w:space="0" w:color="auto"/>
              <w:right w:val="single" w:sz="8" w:space="0" w:color="000000"/>
            </w:tcBorders>
            <w:shd w:val="clear" w:color="000000" w:fill="D9D9D9"/>
            <w:hideMark/>
          </w:tcPr>
          <w:p w:rsidR="00663157" w:rsidRDefault="00663157">
            <w:pPr>
              <w:jc w:val="center"/>
              <w:rPr>
                <w:rFonts w:ascii="Arial" w:hAnsi="Arial" w:cs="Arial"/>
                <w:b/>
                <w:bCs/>
                <w:color w:val="000000"/>
              </w:rPr>
            </w:pPr>
            <w:r>
              <w:rPr>
                <w:rFonts w:ascii="Arial" w:hAnsi="Arial" w:cs="Arial"/>
                <w:b/>
                <w:bCs/>
                <w:color w:val="000000"/>
              </w:rPr>
              <w:lastRenderedPageBreak/>
              <w:t>2013-14 Gambling Amelioration</w:t>
            </w:r>
          </w:p>
        </w:tc>
      </w:tr>
      <w:tr w:rsidR="00663157" w:rsidTr="00A63D12">
        <w:trPr>
          <w:trHeight w:val="330"/>
          <w:jc w:val="center"/>
        </w:trPr>
        <w:tc>
          <w:tcPr>
            <w:tcW w:w="4106" w:type="dxa"/>
            <w:tcBorders>
              <w:top w:val="nil"/>
              <w:left w:val="single" w:sz="8" w:space="0" w:color="auto"/>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Organisation</w:t>
            </w:r>
          </w:p>
        </w:tc>
        <w:tc>
          <w:tcPr>
            <w:tcW w:w="4856" w:type="dxa"/>
            <w:tcBorders>
              <w:top w:val="nil"/>
              <w:left w:val="nil"/>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Purpose</w:t>
            </w:r>
          </w:p>
        </w:tc>
        <w:tc>
          <w:tcPr>
            <w:tcW w:w="1418" w:type="dxa"/>
            <w:tcBorders>
              <w:top w:val="nil"/>
              <w:left w:val="nil"/>
              <w:bottom w:val="single" w:sz="8" w:space="0" w:color="auto"/>
              <w:right w:val="single" w:sz="8"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Amount</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Ministerial Council on Gambling</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Australian Online Gambling Counselling and Support Program 2012-15.</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$17,515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Amity Community Services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Gambling Harm Minimisation and Education Program.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$544,800</w:t>
            </w:r>
          </w:p>
        </w:tc>
      </w:tr>
      <w:tr w:rsidR="00663157" w:rsidTr="00A63D12">
        <w:trPr>
          <w:trHeight w:val="255"/>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Amity Community Services Incorporated</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Gambling Awareness and Education Program.</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$104,959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Big Fat Productions Pty Ltd - </w:t>
            </w:r>
            <w:proofErr w:type="spellStart"/>
            <w:r>
              <w:rPr>
                <w:rFonts w:ascii="Arial" w:hAnsi="Arial" w:cs="Arial"/>
                <w:color w:val="000000"/>
                <w:sz w:val="20"/>
                <w:szCs w:val="20"/>
              </w:rPr>
              <w:t>italk</w:t>
            </w:r>
            <w:proofErr w:type="spellEnd"/>
            <w:r>
              <w:rPr>
                <w:rFonts w:ascii="Arial" w:hAnsi="Arial" w:cs="Arial"/>
                <w:color w:val="000000"/>
                <w:sz w:val="20"/>
                <w:szCs w:val="20"/>
              </w:rPr>
              <w:t xml:space="preserve"> library</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Strong Living Stage III.</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$145,000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Somerville Community Services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Financial Counselling for Gambling Related Issues.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$215,182</w:t>
            </w:r>
          </w:p>
        </w:tc>
      </w:tr>
      <w:tr w:rsidR="00663157" w:rsidTr="00A63D12">
        <w:trPr>
          <w:trHeight w:val="270"/>
          <w:jc w:val="center"/>
        </w:trPr>
        <w:tc>
          <w:tcPr>
            <w:tcW w:w="4106" w:type="dxa"/>
            <w:tcBorders>
              <w:top w:val="nil"/>
              <w:left w:val="single" w:sz="8" w:space="0" w:color="auto"/>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Roper Gulf Shire Council</w:t>
            </w:r>
          </w:p>
        </w:tc>
        <w:tc>
          <w:tcPr>
            <w:tcW w:w="4856" w:type="dxa"/>
            <w:tcBorders>
              <w:top w:val="nil"/>
              <w:left w:val="nil"/>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Bulman's</w:t>
            </w:r>
            <w:proofErr w:type="spellEnd"/>
            <w:r>
              <w:rPr>
                <w:rFonts w:ascii="Arial" w:hAnsi="Arial" w:cs="Arial"/>
                <w:color w:val="000000"/>
                <w:sz w:val="20"/>
                <w:szCs w:val="20"/>
              </w:rPr>
              <w:t xml:space="preserve"> Barrel of Laughs.</w:t>
            </w:r>
          </w:p>
        </w:tc>
        <w:tc>
          <w:tcPr>
            <w:tcW w:w="1418" w:type="dxa"/>
            <w:tcBorders>
              <w:top w:val="nil"/>
              <w:left w:val="nil"/>
              <w:bottom w:val="single" w:sz="8"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$37,120</w:t>
            </w:r>
          </w:p>
        </w:tc>
      </w:tr>
      <w:tr w:rsidR="00663157" w:rsidTr="00A63D12">
        <w:trPr>
          <w:trHeight w:val="270"/>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double" w:sz="6" w:space="0" w:color="auto"/>
              <w:right w:val="nil"/>
            </w:tcBorders>
            <w:shd w:val="clear" w:color="auto" w:fill="auto"/>
            <w:hideMark/>
          </w:tcPr>
          <w:p w:rsidR="00663157" w:rsidRDefault="00663157">
            <w:pPr>
              <w:jc w:val="right"/>
              <w:rPr>
                <w:rFonts w:ascii="Arial" w:hAnsi="Arial" w:cs="Arial"/>
                <w:b/>
                <w:bCs/>
                <w:color w:val="000000"/>
                <w:sz w:val="20"/>
                <w:szCs w:val="20"/>
              </w:rPr>
            </w:pPr>
            <w:r>
              <w:rPr>
                <w:rFonts w:ascii="Arial" w:hAnsi="Arial" w:cs="Arial"/>
                <w:b/>
                <w:bCs/>
                <w:color w:val="000000"/>
                <w:sz w:val="20"/>
                <w:szCs w:val="20"/>
              </w:rPr>
              <w:t>$1,064,576</w:t>
            </w:r>
          </w:p>
        </w:tc>
      </w:tr>
      <w:tr w:rsidR="00663157" w:rsidTr="00A63D12">
        <w:trPr>
          <w:trHeight w:val="285"/>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r>
      <w:tr w:rsidR="00663157" w:rsidTr="00663157">
        <w:trPr>
          <w:trHeight w:val="330"/>
          <w:jc w:val="center"/>
        </w:trPr>
        <w:tc>
          <w:tcPr>
            <w:tcW w:w="10380" w:type="dxa"/>
            <w:gridSpan w:val="3"/>
            <w:tcBorders>
              <w:top w:val="single" w:sz="8" w:space="0" w:color="auto"/>
              <w:left w:val="single" w:sz="8" w:space="0" w:color="auto"/>
              <w:bottom w:val="single" w:sz="8" w:space="0" w:color="auto"/>
              <w:right w:val="single" w:sz="8" w:space="0" w:color="000000"/>
            </w:tcBorders>
            <w:shd w:val="clear" w:color="000000" w:fill="D9D9D9"/>
            <w:hideMark/>
          </w:tcPr>
          <w:p w:rsidR="00663157" w:rsidRDefault="00663157">
            <w:pPr>
              <w:jc w:val="center"/>
              <w:rPr>
                <w:rFonts w:ascii="Arial" w:hAnsi="Arial" w:cs="Arial"/>
                <w:b/>
                <w:bCs/>
                <w:color w:val="000000"/>
              </w:rPr>
            </w:pPr>
            <w:r>
              <w:rPr>
                <w:rFonts w:ascii="Arial" w:hAnsi="Arial" w:cs="Arial"/>
                <w:b/>
                <w:bCs/>
                <w:color w:val="000000"/>
              </w:rPr>
              <w:t>2013-14 Major Grants</w:t>
            </w:r>
          </w:p>
        </w:tc>
      </w:tr>
      <w:tr w:rsidR="00663157" w:rsidTr="00A63D12">
        <w:trPr>
          <w:trHeight w:val="330"/>
          <w:jc w:val="center"/>
        </w:trPr>
        <w:tc>
          <w:tcPr>
            <w:tcW w:w="4106" w:type="dxa"/>
            <w:tcBorders>
              <w:top w:val="nil"/>
              <w:left w:val="single" w:sz="8" w:space="0" w:color="auto"/>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Organisation</w:t>
            </w:r>
          </w:p>
        </w:tc>
        <w:tc>
          <w:tcPr>
            <w:tcW w:w="4856" w:type="dxa"/>
            <w:tcBorders>
              <w:top w:val="nil"/>
              <w:left w:val="nil"/>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Purpose</w:t>
            </w:r>
          </w:p>
        </w:tc>
        <w:tc>
          <w:tcPr>
            <w:tcW w:w="1418" w:type="dxa"/>
            <w:tcBorders>
              <w:top w:val="nil"/>
              <w:left w:val="nil"/>
              <w:bottom w:val="single" w:sz="8" w:space="0" w:color="auto"/>
              <w:right w:val="single" w:sz="8"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Amount</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Genealogical Society of the Northern Territory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Enhancing microfilm and microfiche collections.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Groote Eylandt &amp; </w:t>
            </w:r>
            <w:proofErr w:type="spellStart"/>
            <w:r>
              <w:rPr>
                <w:rFonts w:ascii="Arial" w:hAnsi="Arial" w:cs="Arial"/>
                <w:color w:val="000000"/>
                <w:sz w:val="20"/>
                <w:szCs w:val="20"/>
              </w:rPr>
              <w:t>Milyakburra</w:t>
            </w:r>
            <w:proofErr w:type="spellEnd"/>
            <w:r>
              <w:rPr>
                <w:rFonts w:ascii="Arial" w:hAnsi="Arial" w:cs="Arial"/>
                <w:color w:val="000000"/>
                <w:sz w:val="20"/>
                <w:szCs w:val="20"/>
              </w:rPr>
              <w:t xml:space="preserve"> Youth Development Unit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(GEMYDU)</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Sharing Knowledge - Sharing Time.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$28,000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Alawa Aboriginal Corporation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Minyerri</w:t>
            </w:r>
            <w:proofErr w:type="spellEnd"/>
            <w:r>
              <w:rPr>
                <w:rFonts w:ascii="Arial" w:hAnsi="Arial" w:cs="Arial"/>
                <w:color w:val="000000"/>
                <w:sz w:val="20"/>
                <w:szCs w:val="20"/>
              </w:rPr>
              <w:t xml:space="preserve"> football oval water supply project.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$25,000</w:t>
            </w:r>
          </w:p>
        </w:tc>
      </w:tr>
      <w:tr w:rsidR="00663157" w:rsidTr="00A63D12">
        <w:trPr>
          <w:trHeight w:val="76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InCite</w:t>
            </w:r>
            <w:proofErr w:type="spellEnd"/>
            <w:r>
              <w:rPr>
                <w:rFonts w:ascii="Arial" w:hAnsi="Arial" w:cs="Arial"/>
                <w:color w:val="000000"/>
                <w:sz w:val="20"/>
                <w:szCs w:val="20"/>
              </w:rPr>
              <w:t xml:space="preserve"> Youth Arts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InCite</w:t>
            </w:r>
            <w:proofErr w:type="spellEnd"/>
            <w:r>
              <w:rPr>
                <w:rFonts w:ascii="Arial" w:hAnsi="Arial" w:cs="Arial"/>
                <w:color w:val="000000"/>
                <w:sz w:val="20"/>
                <w:szCs w:val="20"/>
              </w:rPr>
              <w:t xml:space="preserve"> / Warlpiri Youth Development Aboriginal Corporation (WYDAC) Community Development Program.</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$25,000</w:t>
            </w:r>
          </w:p>
        </w:tc>
      </w:tr>
      <w:tr w:rsidR="00663157" w:rsidTr="00A63D12">
        <w:trPr>
          <w:trHeight w:val="270"/>
          <w:jc w:val="center"/>
        </w:trPr>
        <w:tc>
          <w:tcPr>
            <w:tcW w:w="4106" w:type="dxa"/>
            <w:tcBorders>
              <w:top w:val="nil"/>
              <w:left w:val="single" w:sz="8" w:space="0" w:color="auto"/>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Yulara Ayers Rock Lions Club </w:t>
            </w:r>
            <w:proofErr w:type="spellStart"/>
            <w:r>
              <w:rPr>
                <w:rFonts w:ascii="Arial" w:hAnsi="Arial" w:cs="Arial"/>
                <w:color w:val="000000"/>
                <w:sz w:val="20"/>
                <w:szCs w:val="20"/>
              </w:rPr>
              <w:t>Inc</w:t>
            </w:r>
            <w:proofErr w:type="spellEnd"/>
          </w:p>
        </w:tc>
        <w:tc>
          <w:tcPr>
            <w:tcW w:w="4856" w:type="dxa"/>
            <w:tcBorders>
              <w:top w:val="nil"/>
              <w:left w:val="nil"/>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Yulara Community Park and Playground.</w:t>
            </w:r>
          </w:p>
        </w:tc>
        <w:tc>
          <w:tcPr>
            <w:tcW w:w="1418" w:type="dxa"/>
            <w:tcBorders>
              <w:top w:val="nil"/>
              <w:left w:val="nil"/>
              <w:bottom w:val="single" w:sz="8"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$162,000</w:t>
            </w:r>
          </w:p>
        </w:tc>
      </w:tr>
      <w:tr w:rsidR="00663157" w:rsidTr="00A63D12">
        <w:trPr>
          <w:trHeight w:val="270"/>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double" w:sz="6" w:space="0" w:color="auto"/>
              <w:right w:val="nil"/>
            </w:tcBorders>
            <w:shd w:val="clear" w:color="auto" w:fill="auto"/>
            <w:hideMark/>
          </w:tcPr>
          <w:p w:rsidR="00663157" w:rsidRDefault="00663157">
            <w:pPr>
              <w:jc w:val="right"/>
              <w:rPr>
                <w:rFonts w:ascii="Arial" w:hAnsi="Arial" w:cs="Arial"/>
                <w:b/>
                <w:bCs/>
                <w:color w:val="000000"/>
                <w:sz w:val="20"/>
                <w:szCs w:val="20"/>
              </w:rPr>
            </w:pPr>
            <w:r>
              <w:rPr>
                <w:rFonts w:ascii="Arial" w:hAnsi="Arial" w:cs="Arial"/>
                <w:b/>
                <w:bCs/>
                <w:color w:val="000000"/>
                <w:sz w:val="20"/>
                <w:szCs w:val="20"/>
              </w:rPr>
              <w:t>$260,000</w:t>
            </w:r>
          </w:p>
        </w:tc>
      </w:tr>
      <w:tr w:rsidR="00663157" w:rsidTr="00A63D12">
        <w:trPr>
          <w:trHeight w:val="285"/>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r>
      <w:tr w:rsidR="00663157" w:rsidTr="00663157">
        <w:trPr>
          <w:trHeight w:val="330"/>
          <w:jc w:val="center"/>
        </w:trPr>
        <w:tc>
          <w:tcPr>
            <w:tcW w:w="10380" w:type="dxa"/>
            <w:gridSpan w:val="3"/>
            <w:tcBorders>
              <w:top w:val="single" w:sz="8" w:space="0" w:color="auto"/>
              <w:left w:val="single" w:sz="8" w:space="0" w:color="auto"/>
              <w:bottom w:val="single" w:sz="8" w:space="0" w:color="auto"/>
              <w:right w:val="single" w:sz="8" w:space="0" w:color="000000"/>
            </w:tcBorders>
            <w:shd w:val="clear" w:color="000000" w:fill="D9D9D9"/>
            <w:hideMark/>
          </w:tcPr>
          <w:p w:rsidR="00663157" w:rsidRDefault="00663157">
            <w:pPr>
              <w:jc w:val="center"/>
              <w:rPr>
                <w:rFonts w:ascii="Arial" w:hAnsi="Arial" w:cs="Arial"/>
                <w:b/>
                <w:bCs/>
                <w:color w:val="000000"/>
              </w:rPr>
            </w:pPr>
            <w:r>
              <w:rPr>
                <w:rFonts w:ascii="Arial" w:hAnsi="Arial" w:cs="Arial"/>
                <w:b/>
                <w:bCs/>
                <w:color w:val="000000"/>
              </w:rPr>
              <w:t>2013-14 Small Grants</w:t>
            </w:r>
          </w:p>
        </w:tc>
      </w:tr>
      <w:tr w:rsidR="00663157" w:rsidTr="00A63D12">
        <w:trPr>
          <w:trHeight w:val="330"/>
          <w:jc w:val="center"/>
        </w:trPr>
        <w:tc>
          <w:tcPr>
            <w:tcW w:w="4106" w:type="dxa"/>
            <w:tcBorders>
              <w:top w:val="nil"/>
              <w:left w:val="single" w:sz="8" w:space="0" w:color="auto"/>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Organisation</w:t>
            </w:r>
          </w:p>
        </w:tc>
        <w:tc>
          <w:tcPr>
            <w:tcW w:w="4856" w:type="dxa"/>
            <w:tcBorders>
              <w:top w:val="nil"/>
              <w:left w:val="nil"/>
              <w:bottom w:val="single" w:sz="8" w:space="0" w:color="auto"/>
              <w:right w:val="single" w:sz="4"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Purpose</w:t>
            </w:r>
          </w:p>
        </w:tc>
        <w:tc>
          <w:tcPr>
            <w:tcW w:w="1418" w:type="dxa"/>
            <w:tcBorders>
              <w:top w:val="nil"/>
              <w:left w:val="nil"/>
              <w:bottom w:val="single" w:sz="8" w:space="0" w:color="auto"/>
              <w:right w:val="single" w:sz="8" w:space="0" w:color="auto"/>
            </w:tcBorders>
            <w:shd w:val="clear" w:color="000000" w:fill="BFBFBF"/>
            <w:hideMark/>
          </w:tcPr>
          <w:p w:rsidR="00663157" w:rsidRDefault="00663157">
            <w:pPr>
              <w:rPr>
                <w:rFonts w:ascii="Arial" w:hAnsi="Arial" w:cs="Arial"/>
                <w:b/>
                <w:bCs/>
                <w:color w:val="000000"/>
              </w:rPr>
            </w:pPr>
            <w:r>
              <w:rPr>
                <w:rFonts w:ascii="Arial" w:hAnsi="Arial" w:cs="Arial"/>
                <w:b/>
                <w:bCs/>
                <w:color w:val="000000"/>
              </w:rPr>
              <w:t>Amount</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Childbirth Education Association Darwin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Update library resources and purchase new computer software.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$4,202</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Engineers Australia Northern Division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Reprint Engineering Heritage Brochure in Alice Springs.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$2,280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Lifeline Central Australia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items for furnishing at Helm House.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Munupi</w:t>
            </w:r>
            <w:proofErr w:type="spellEnd"/>
            <w:r>
              <w:rPr>
                <w:rFonts w:ascii="Arial" w:hAnsi="Arial" w:cs="Arial"/>
                <w:color w:val="000000"/>
                <w:sz w:val="20"/>
                <w:szCs w:val="20"/>
              </w:rPr>
              <w:t xml:space="preserve"> Arts and Crafts Association Aboriginal Corporation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Archive assessment and preservation project.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Network Tindal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MYOB Software and training course.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$1,615</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Northern Territory Council of Social Services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provide 'Negotiation Skills Training' to NT communities.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$2,475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Southport Progress Association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shade tents for members.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$4,309</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St Vincent de Paul Society (NT)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Create an impact advert to educate the general public.</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Top End Rodeo Circuit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Mother of Pearl Rodeo 2014.</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InCite</w:t>
            </w:r>
            <w:proofErr w:type="spellEnd"/>
            <w:r>
              <w:rPr>
                <w:rFonts w:ascii="Arial" w:hAnsi="Arial" w:cs="Arial"/>
                <w:color w:val="000000"/>
                <w:sz w:val="20"/>
                <w:szCs w:val="20"/>
              </w:rPr>
              <w:t xml:space="preserve"> Youth Arts Incorporated</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of computers.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Northern Territory Hong Kong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Provide financial support to conduct three functions.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Tracy Village Football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new trailer and BBQ.</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Arunga</w:t>
            </w:r>
            <w:proofErr w:type="spellEnd"/>
            <w:r>
              <w:rPr>
                <w:rFonts w:ascii="Arial" w:hAnsi="Arial" w:cs="Arial"/>
                <w:color w:val="000000"/>
                <w:sz w:val="20"/>
                <w:szCs w:val="20"/>
              </w:rPr>
              <w:t xml:space="preserve"> Park Speedway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6 sets of hand held 2 way radios and headsets.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$4,464</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Fannie Bay History and Heritage Society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Create a website.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$920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Sports Medicine Australia - NT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Deliver workshops in Women's Sport Safety.</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$3,875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Freds</w:t>
            </w:r>
            <w:proofErr w:type="spellEnd"/>
            <w:r>
              <w:rPr>
                <w:rFonts w:ascii="Arial" w:hAnsi="Arial" w:cs="Arial"/>
                <w:color w:val="000000"/>
                <w:sz w:val="20"/>
                <w:szCs w:val="20"/>
              </w:rPr>
              <w:t xml:space="preserve"> Pass Rural Show</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Implement a website.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lastRenderedPageBreak/>
              <w:t xml:space="preserve">Groote Eylandt &amp; </w:t>
            </w:r>
            <w:proofErr w:type="spellStart"/>
            <w:r>
              <w:rPr>
                <w:rFonts w:ascii="Arial" w:hAnsi="Arial" w:cs="Arial"/>
                <w:color w:val="000000"/>
                <w:sz w:val="20"/>
                <w:szCs w:val="20"/>
              </w:rPr>
              <w:t>Milyakburra</w:t>
            </w:r>
            <w:proofErr w:type="spellEnd"/>
            <w:r>
              <w:rPr>
                <w:rFonts w:ascii="Arial" w:hAnsi="Arial" w:cs="Arial"/>
                <w:color w:val="000000"/>
                <w:sz w:val="20"/>
                <w:szCs w:val="20"/>
              </w:rPr>
              <w:t xml:space="preserve"> Youth Development Unit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(GEMYDU)</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Rage anger management course.</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Angurugu Women's Centre</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education equipment, art and craft materials.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$3,610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Scouts Association of Australia Northern Territory Branch</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and installation of radios in vehicles.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$2,620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Howard Springs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$3,267</w:t>
            </w:r>
          </w:p>
        </w:tc>
      </w:tr>
      <w:tr w:rsidR="00663157" w:rsidTr="00A63D12">
        <w:trPr>
          <w:trHeight w:val="255"/>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Autism Northern Territory </w:t>
            </w:r>
            <w:proofErr w:type="spellStart"/>
            <w:r>
              <w:rPr>
                <w:rFonts w:ascii="Arial" w:hAnsi="Arial" w:cs="Arial"/>
                <w:color w:val="000000"/>
                <w:sz w:val="20"/>
                <w:szCs w:val="20"/>
              </w:rPr>
              <w:t>Inc</w:t>
            </w:r>
            <w:proofErr w:type="spellEnd"/>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Girls Day Out.</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Arnhem Area NTES</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volunteer Kit bags.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$4,980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Girl Guides NT Incorporated - Darwin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new equipment for guide halls.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$4,997</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Numbulwar Homelands Council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Run carpentry training programs for residents of Numbulwar.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Woorabinda Scout Camp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variety of sporting and outdoor recreation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$2,744</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Banks Bulldogs Football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large durable marquee.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$2,668</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Greyhound Adoption Program NT (GAPNT)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Creation of signage and banners.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$2,257</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Somerville Community Services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of an </w:t>
            </w:r>
            <w:proofErr w:type="spellStart"/>
            <w:r>
              <w:rPr>
                <w:rFonts w:ascii="Arial" w:hAnsi="Arial" w:cs="Arial"/>
                <w:color w:val="000000"/>
                <w:sz w:val="20"/>
                <w:szCs w:val="20"/>
              </w:rPr>
              <w:t>all terrain</w:t>
            </w:r>
            <w:proofErr w:type="spellEnd"/>
            <w:r>
              <w:rPr>
                <w:rFonts w:ascii="Arial" w:hAnsi="Arial" w:cs="Arial"/>
                <w:color w:val="000000"/>
                <w:sz w:val="20"/>
                <w:szCs w:val="20"/>
              </w:rPr>
              <w:t xml:space="preserve"> wheelchair.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$4,520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Top End Practical Shooting League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(TEPSL)</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ride on mower.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$4,599</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Teachabout</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Purchase of supplies for the 2014 </w:t>
            </w:r>
            <w:proofErr w:type="spellStart"/>
            <w:r>
              <w:rPr>
                <w:rFonts w:ascii="Arial" w:hAnsi="Arial" w:cs="Arial"/>
                <w:color w:val="000000"/>
                <w:sz w:val="20"/>
                <w:szCs w:val="20"/>
              </w:rPr>
              <w:t>Teachabout</w:t>
            </w:r>
            <w:proofErr w:type="spellEnd"/>
            <w:r>
              <w:rPr>
                <w:rFonts w:ascii="Arial" w:hAnsi="Arial" w:cs="Arial"/>
                <w:color w:val="000000"/>
                <w:sz w:val="20"/>
                <w:szCs w:val="20"/>
              </w:rPr>
              <w:t xml:space="preserve"> Program in </w:t>
            </w:r>
            <w:proofErr w:type="spellStart"/>
            <w:r>
              <w:rPr>
                <w:rFonts w:ascii="Arial" w:hAnsi="Arial" w:cs="Arial"/>
                <w:color w:val="000000"/>
                <w:sz w:val="20"/>
                <w:szCs w:val="20"/>
              </w:rPr>
              <w:t>Minyerri</w:t>
            </w:r>
            <w:proofErr w:type="spellEnd"/>
            <w:r>
              <w:rPr>
                <w:rFonts w:ascii="Arial" w:hAnsi="Arial" w:cs="Arial"/>
                <w:color w:val="000000"/>
                <w:sz w:val="20"/>
                <w:szCs w:val="20"/>
              </w:rPr>
              <w: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Darwin Show Jumping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First aid assistance for riders/horses and volunteers.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$4,822</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Northern Cowboys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vital safety equipment for junior competitors.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Royal Life Saving Society (Australia) NT Branch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equipment for the clubs in Darwin and Alice Springs.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$2,594</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Australia-China Friendship Society NT Branch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Hold a National Conference in Darwin June 2014.</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Barkly Regional Arts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large projector.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$4,421</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Daly River Volunteer Unit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portable floodlights.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$2,361</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Darwin Volunteer Unit (NTES) Association</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swags, topographical maps and upgrade GPS.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$1,600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Dundee Volunteer Bushfire Brigade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an honour board.</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Guide Dogs Association of SA &amp;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a projector and a small BBQ.</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$1,649</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Wildcare</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chain mesh for existing fence.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$1,508</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proofErr w:type="spellStart"/>
            <w:r>
              <w:rPr>
                <w:rFonts w:ascii="Arial" w:hAnsi="Arial" w:cs="Arial"/>
                <w:color w:val="000000"/>
                <w:sz w:val="20"/>
                <w:szCs w:val="20"/>
              </w:rPr>
              <w:t>Freds</w:t>
            </w:r>
            <w:proofErr w:type="spellEnd"/>
            <w:r>
              <w:rPr>
                <w:rFonts w:ascii="Arial" w:hAnsi="Arial" w:cs="Arial"/>
                <w:color w:val="000000"/>
                <w:sz w:val="20"/>
                <w:szCs w:val="20"/>
              </w:rPr>
              <w:t xml:space="preserve"> Pass Field Archers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$4,780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Special Souls Support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Funding towards the Christmas Party.</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The Central Australian Community Toy Library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new computers.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$4,983</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The Central Australian Community Toy Library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new baby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$2,800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National Trust of Australia (NT)</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Darwin heritage walk brochure.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$4,300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Nightcliff University Tigers Hockey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Junior Kits and Steel shelving and installation.</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$3,575</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Darwin Homebirth Group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new books for the library.</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$643</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East African Community Association of Darwin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To establish a website.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Football Federation NT </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of equipment for junior games.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Litchfield Horse and Pony Club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Improve the LHPC grounds.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$2,500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Territory Craft Katherine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Upgrade computer and backup system and to purchase new MYOB software.</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$4,400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Noonamah Horse &amp; Pony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and transport of 12 portable cross country fences.</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lastRenderedPageBreak/>
              <w:t>Darwin Ladies Kennel Club</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equipment.</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$803</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Show Dogs Handlers Club</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a 7x4 trailer.</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$1,980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Alawa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camping, hiking and computer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 xml:space="preserve">Life Education NT </w:t>
            </w:r>
            <w:proofErr w:type="spellStart"/>
            <w:r>
              <w:rPr>
                <w:rFonts w:ascii="Arial" w:hAnsi="Arial" w:cs="Arial"/>
                <w:color w:val="000000"/>
                <w:sz w:val="20"/>
                <w:szCs w:val="20"/>
              </w:rPr>
              <w:t>Inc</w:t>
            </w:r>
            <w:proofErr w:type="spellEnd"/>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Cost of student manuals and freight.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510"/>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Pony Club Association of the Northern Territory</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information and technology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$3,880</w:t>
            </w:r>
          </w:p>
        </w:tc>
      </w:tr>
      <w:tr w:rsidR="00663157" w:rsidTr="00A63D12">
        <w:trPr>
          <w:trHeight w:val="255"/>
          <w:jc w:val="center"/>
        </w:trPr>
        <w:tc>
          <w:tcPr>
            <w:tcW w:w="4106" w:type="dxa"/>
            <w:tcBorders>
              <w:top w:val="nil"/>
              <w:left w:val="single" w:sz="8" w:space="0" w:color="auto"/>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Humpty Doo Scout Group</w:t>
            </w:r>
          </w:p>
        </w:tc>
        <w:tc>
          <w:tcPr>
            <w:tcW w:w="4856" w:type="dxa"/>
            <w:tcBorders>
              <w:top w:val="nil"/>
              <w:left w:val="nil"/>
              <w:bottom w:val="single" w:sz="4"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Purchase of equipment.</w:t>
            </w:r>
          </w:p>
        </w:tc>
        <w:tc>
          <w:tcPr>
            <w:tcW w:w="1418" w:type="dxa"/>
            <w:tcBorders>
              <w:top w:val="nil"/>
              <w:left w:val="nil"/>
              <w:bottom w:val="single" w:sz="4"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$2,014</w:t>
            </w:r>
          </w:p>
        </w:tc>
      </w:tr>
      <w:tr w:rsidR="00663157" w:rsidTr="00A63D12">
        <w:trPr>
          <w:trHeight w:val="525"/>
          <w:jc w:val="center"/>
        </w:trPr>
        <w:tc>
          <w:tcPr>
            <w:tcW w:w="410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Dundee Progress Association</w:t>
            </w:r>
          </w:p>
        </w:tc>
        <w:tc>
          <w:tcPr>
            <w:tcW w:w="4856" w:type="dxa"/>
            <w:tcBorders>
              <w:top w:val="single" w:sz="4" w:space="0" w:color="auto"/>
              <w:left w:val="nil"/>
              <w:bottom w:val="single" w:sz="8" w:space="0" w:color="auto"/>
              <w:right w:val="single" w:sz="4" w:space="0" w:color="auto"/>
            </w:tcBorders>
            <w:shd w:val="clear" w:color="auto" w:fill="auto"/>
            <w:vAlign w:val="center"/>
            <w:hideMark/>
          </w:tcPr>
          <w:p w:rsidR="00663157" w:rsidRDefault="00663157">
            <w:pPr>
              <w:rPr>
                <w:rFonts w:ascii="Arial" w:hAnsi="Arial" w:cs="Arial"/>
                <w:color w:val="000000"/>
                <w:sz w:val="20"/>
                <w:szCs w:val="20"/>
              </w:rPr>
            </w:pPr>
            <w:r>
              <w:rPr>
                <w:rFonts w:ascii="Arial" w:hAnsi="Arial" w:cs="Arial"/>
                <w:color w:val="000000"/>
                <w:sz w:val="20"/>
                <w:szCs w:val="20"/>
              </w:rPr>
              <w:t>Assist with costs of constructing a roof and awning over the first aid post.</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663157" w:rsidRDefault="00663157">
            <w:pPr>
              <w:jc w:val="right"/>
              <w:rPr>
                <w:rFonts w:ascii="Arial" w:hAnsi="Arial" w:cs="Arial"/>
                <w:color w:val="000000"/>
                <w:sz w:val="20"/>
                <w:szCs w:val="20"/>
              </w:rPr>
            </w:pPr>
            <w:r>
              <w:rPr>
                <w:rFonts w:ascii="Arial" w:hAnsi="Arial" w:cs="Arial"/>
                <w:color w:val="000000"/>
                <w:sz w:val="20"/>
                <w:szCs w:val="20"/>
              </w:rPr>
              <w:t>$5,000</w:t>
            </w:r>
          </w:p>
        </w:tc>
      </w:tr>
      <w:tr w:rsidR="00663157" w:rsidTr="00A63D12">
        <w:trPr>
          <w:trHeight w:val="270"/>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double" w:sz="6" w:space="0" w:color="auto"/>
              <w:right w:val="nil"/>
            </w:tcBorders>
            <w:shd w:val="clear" w:color="auto" w:fill="auto"/>
            <w:hideMark/>
          </w:tcPr>
          <w:p w:rsidR="00663157" w:rsidRDefault="00663157">
            <w:pPr>
              <w:jc w:val="right"/>
              <w:rPr>
                <w:rFonts w:ascii="Arial" w:hAnsi="Arial" w:cs="Arial"/>
                <w:b/>
                <w:bCs/>
                <w:color w:val="000000"/>
                <w:sz w:val="20"/>
                <w:szCs w:val="20"/>
              </w:rPr>
            </w:pPr>
            <w:r>
              <w:rPr>
                <w:rFonts w:ascii="Arial" w:hAnsi="Arial" w:cs="Arial"/>
                <w:b/>
                <w:bCs/>
                <w:color w:val="000000"/>
                <w:sz w:val="20"/>
                <w:szCs w:val="20"/>
              </w:rPr>
              <w:t>$212,314</w:t>
            </w:r>
          </w:p>
        </w:tc>
      </w:tr>
      <w:tr w:rsidR="00663157" w:rsidTr="00A63D12">
        <w:trPr>
          <w:trHeight w:val="255"/>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1418"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r>
      <w:tr w:rsidR="00663157" w:rsidTr="00A63D12">
        <w:trPr>
          <w:trHeight w:val="330"/>
          <w:jc w:val="center"/>
        </w:trPr>
        <w:tc>
          <w:tcPr>
            <w:tcW w:w="4106" w:type="dxa"/>
            <w:tcBorders>
              <w:top w:val="nil"/>
              <w:left w:val="nil"/>
              <w:bottom w:val="nil"/>
              <w:right w:val="nil"/>
            </w:tcBorders>
            <w:shd w:val="clear" w:color="auto" w:fill="auto"/>
            <w:hideMark/>
          </w:tcPr>
          <w:p w:rsidR="00663157" w:rsidRDefault="00663157">
            <w:pPr>
              <w:rPr>
                <w:rFonts w:ascii="Arial" w:hAnsi="Arial" w:cs="Arial"/>
                <w:color w:val="000000"/>
                <w:sz w:val="20"/>
                <w:szCs w:val="20"/>
              </w:rPr>
            </w:pPr>
          </w:p>
        </w:tc>
        <w:tc>
          <w:tcPr>
            <w:tcW w:w="4856" w:type="dxa"/>
            <w:tcBorders>
              <w:top w:val="single" w:sz="4" w:space="0" w:color="auto"/>
              <w:left w:val="nil"/>
              <w:bottom w:val="double" w:sz="6" w:space="0" w:color="auto"/>
              <w:right w:val="nil"/>
            </w:tcBorders>
            <w:shd w:val="clear" w:color="000000" w:fill="00FFFF"/>
            <w:hideMark/>
          </w:tcPr>
          <w:p w:rsidR="00663157" w:rsidRDefault="00663157">
            <w:pPr>
              <w:rPr>
                <w:rFonts w:ascii="Arial" w:hAnsi="Arial" w:cs="Arial"/>
                <w:b/>
                <w:bCs/>
                <w:color w:val="000000"/>
              </w:rPr>
            </w:pPr>
            <w:r>
              <w:rPr>
                <w:rFonts w:ascii="Arial" w:hAnsi="Arial" w:cs="Arial"/>
                <w:b/>
                <w:bCs/>
                <w:color w:val="000000"/>
              </w:rPr>
              <w:t>Total Paid</w:t>
            </w:r>
          </w:p>
        </w:tc>
        <w:tc>
          <w:tcPr>
            <w:tcW w:w="1418" w:type="dxa"/>
            <w:tcBorders>
              <w:top w:val="single" w:sz="4" w:space="0" w:color="auto"/>
              <w:left w:val="nil"/>
              <w:bottom w:val="double" w:sz="6" w:space="0" w:color="auto"/>
              <w:right w:val="nil"/>
            </w:tcBorders>
            <w:shd w:val="clear" w:color="000000" w:fill="00FFFF"/>
            <w:hideMark/>
          </w:tcPr>
          <w:p w:rsidR="00663157" w:rsidRDefault="00663157">
            <w:pPr>
              <w:jc w:val="right"/>
              <w:rPr>
                <w:rFonts w:ascii="Arial" w:hAnsi="Arial" w:cs="Arial"/>
                <w:b/>
                <w:bCs/>
                <w:color w:val="000000"/>
              </w:rPr>
            </w:pPr>
            <w:r>
              <w:rPr>
                <w:rFonts w:ascii="Arial" w:hAnsi="Arial" w:cs="Arial"/>
                <w:b/>
                <w:bCs/>
                <w:color w:val="000000"/>
              </w:rPr>
              <w:t>$1,870,486</w:t>
            </w:r>
          </w:p>
        </w:tc>
      </w:tr>
    </w:tbl>
    <w:p w:rsidR="003B6FBA" w:rsidRDefault="003B6FBA" w:rsidP="002663A8">
      <w:pPr>
        <w:ind w:left="426" w:hanging="426"/>
        <w:jc w:val="both"/>
        <w:rPr>
          <w:rFonts w:ascii="Arial" w:hAnsi="Arial" w:cs="Arial"/>
          <w:sz w:val="22"/>
          <w:szCs w:val="22"/>
        </w:rPr>
      </w:pPr>
    </w:p>
    <w:p w:rsidR="003B6FBA" w:rsidRPr="002663A8" w:rsidRDefault="003B6FBA" w:rsidP="002663A8">
      <w:pPr>
        <w:ind w:left="426" w:hanging="426"/>
        <w:jc w:val="both"/>
        <w:rPr>
          <w:rFonts w:ascii="Arial" w:hAnsi="Arial" w:cs="Arial"/>
          <w:sz w:val="22"/>
          <w:szCs w:val="22"/>
        </w:rPr>
      </w:pPr>
    </w:p>
    <w:p w:rsidR="002663A8" w:rsidRPr="002663A8" w:rsidRDefault="002663A8" w:rsidP="002663A8">
      <w:pPr>
        <w:ind w:left="426" w:hanging="426"/>
        <w:jc w:val="both"/>
        <w:rPr>
          <w:rFonts w:ascii="Arial" w:hAnsi="Arial" w:cs="Arial"/>
          <w:sz w:val="22"/>
          <w:szCs w:val="22"/>
        </w:rPr>
      </w:pPr>
      <w:r w:rsidRPr="002663A8">
        <w:rPr>
          <w:rFonts w:ascii="Arial" w:hAnsi="Arial" w:cs="Arial"/>
          <w:sz w:val="22"/>
          <w:szCs w:val="22"/>
        </w:rPr>
        <w:t>4.</w:t>
      </w:r>
      <w:r w:rsidRPr="002663A8">
        <w:rPr>
          <w:rFonts w:ascii="Arial" w:hAnsi="Arial" w:cs="Arial"/>
          <w:sz w:val="22"/>
          <w:szCs w:val="22"/>
        </w:rPr>
        <w:tab/>
        <w:t>How many licenced premises were inspected?</w:t>
      </w:r>
    </w:p>
    <w:p w:rsidR="00CC4CF6" w:rsidRDefault="00CC4CF6" w:rsidP="00CD5F60">
      <w:pPr>
        <w:ind w:left="426" w:hanging="426"/>
        <w:jc w:val="both"/>
        <w:rPr>
          <w:rFonts w:ascii="Arial" w:hAnsi="Arial" w:cs="Arial"/>
          <w:sz w:val="22"/>
          <w:szCs w:val="22"/>
        </w:rPr>
      </w:pPr>
    </w:p>
    <w:p w:rsidR="003B6FBA" w:rsidRPr="003B6FBA" w:rsidRDefault="003B6FBA" w:rsidP="00CD5F60">
      <w:pPr>
        <w:ind w:left="426" w:hanging="426"/>
        <w:jc w:val="both"/>
        <w:rPr>
          <w:rFonts w:ascii="Arial" w:hAnsi="Arial" w:cs="Arial"/>
          <w:color w:val="0070C0"/>
          <w:sz w:val="22"/>
          <w:szCs w:val="22"/>
        </w:rPr>
      </w:pPr>
      <w:r>
        <w:rPr>
          <w:rFonts w:ascii="Arial" w:hAnsi="Arial" w:cs="Arial"/>
          <w:sz w:val="22"/>
          <w:szCs w:val="22"/>
        </w:rPr>
        <w:tab/>
      </w:r>
      <w:r>
        <w:rPr>
          <w:rFonts w:ascii="Arial" w:hAnsi="Arial" w:cs="Arial"/>
          <w:color w:val="0070C0"/>
          <w:sz w:val="22"/>
          <w:szCs w:val="22"/>
        </w:rPr>
        <w:t>During the period 2013/14 financial year, as at 31 May, there were 1,503 inspections conducted.</w:t>
      </w:r>
    </w:p>
    <w:p w:rsidR="008149DF" w:rsidRPr="004C6E9E" w:rsidRDefault="002D5E3E" w:rsidP="004C6E9E">
      <w:pPr>
        <w:ind w:left="567" w:hanging="567"/>
        <w:jc w:val="center"/>
        <w:rPr>
          <w:rFonts w:ascii="Arial" w:hAnsi="Arial" w:cs="Arial"/>
          <w:sz w:val="22"/>
          <w:szCs w:val="22"/>
        </w:rPr>
      </w:pPr>
      <w:r w:rsidRPr="004C6E9E">
        <w:rPr>
          <w:rFonts w:ascii="Arial" w:hAnsi="Arial" w:cs="Arial"/>
          <w:sz w:val="22"/>
          <w:szCs w:val="22"/>
        </w:rPr>
        <w:t>____________________</w:t>
      </w:r>
    </w:p>
    <w:p w:rsidR="00AD4179" w:rsidRDefault="00AD4179" w:rsidP="00181B36">
      <w:pPr>
        <w:ind w:left="567" w:hanging="567"/>
        <w:jc w:val="center"/>
        <w:rPr>
          <w:rFonts w:ascii="Arial" w:hAnsi="Arial" w:cs="Arial"/>
          <w:sz w:val="22"/>
          <w:szCs w:val="22"/>
        </w:rPr>
      </w:pPr>
    </w:p>
    <w:sectPr w:rsidR="00AD4179" w:rsidSect="003867E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CF" w:rsidRDefault="002A1ECF">
      <w:r>
        <w:separator/>
      </w:r>
    </w:p>
  </w:endnote>
  <w:endnote w:type="continuationSeparator" w:id="0">
    <w:p w:rsidR="002A1ECF" w:rsidRDefault="002A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CF" w:rsidRDefault="002A1ECF">
      <w:r>
        <w:separator/>
      </w:r>
    </w:p>
  </w:footnote>
  <w:footnote w:type="continuationSeparator" w:id="0">
    <w:p w:rsidR="002A1ECF" w:rsidRDefault="002A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7F4"/>
    <w:multiLevelType w:val="hybridMultilevel"/>
    <w:tmpl w:val="9698E464"/>
    <w:lvl w:ilvl="0" w:tplc="0C090017">
      <w:start w:val="1"/>
      <w:numFmt w:val="lowerLetter"/>
      <w:lvlText w:val="%1)"/>
      <w:lvlJc w:val="left"/>
      <w:pPr>
        <w:ind w:left="1004" w:hanging="360"/>
      </w:p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nsid w:val="1A0B4F85"/>
    <w:multiLevelType w:val="hybridMultilevel"/>
    <w:tmpl w:val="AA587592"/>
    <w:lvl w:ilvl="0" w:tplc="0C090017">
      <w:start w:val="1"/>
      <w:numFmt w:val="lowerLetter"/>
      <w:lvlText w:val="%1)"/>
      <w:lvlJc w:val="left"/>
      <w:pPr>
        <w:ind w:left="1004" w:hanging="360"/>
      </w:pPr>
    </w:lvl>
    <w:lvl w:ilvl="1" w:tplc="0C090017">
      <w:start w:val="1"/>
      <w:numFmt w:val="lowerLetter"/>
      <w:lvlText w:val="%2)"/>
      <w:lvlJc w:val="left"/>
      <w:pPr>
        <w:ind w:left="1724" w:hanging="360"/>
      </w:pPr>
    </w:lvl>
    <w:lvl w:ilvl="2" w:tplc="DB88712C">
      <w:start w:val="10"/>
      <w:numFmt w:val="decimal"/>
      <w:lvlText w:val="%3"/>
      <w:lvlJc w:val="left"/>
      <w:pPr>
        <w:ind w:left="2624" w:hanging="360"/>
      </w:pPr>
      <w:rPr>
        <w:rFonts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1B066593"/>
    <w:multiLevelType w:val="hybridMultilevel"/>
    <w:tmpl w:val="F5427BA0"/>
    <w:lvl w:ilvl="0" w:tplc="95080140">
      <w:start w:val="1"/>
      <w:numFmt w:val="lowerLetter"/>
      <w:lvlText w:val="%1)"/>
      <w:lvlJc w:val="left"/>
      <w:pPr>
        <w:ind w:left="1004" w:hanging="360"/>
      </w:pPr>
      <w:rPr>
        <w:rFonts w:ascii="Arial" w:hAnsi="Arial" w:cs="Arial" w:hint="default"/>
        <w:sz w:val="19"/>
        <w:szCs w:val="19"/>
      </w:rPr>
    </w:lvl>
    <w:lvl w:ilvl="1" w:tplc="95080140">
      <w:start w:val="1"/>
      <w:numFmt w:val="lowerLetter"/>
      <w:lvlText w:val="%2)"/>
      <w:lvlJc w:val="left"/>
      <w:pPr>
        <w:ind w:left="1724" w:hanging="360"/>
      </w:pPr>
      <w:rPr>
        <w:rFonts w:ascii="Arial" w:hAnsi="Arial" w:cs="Arial" w:hint="default"/>
        <w:sz w:val="19"/>
        <w:szCs w:val="19"/>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1E5E34ED"/>
    <w:multiLevelType w:val="hybridMultilevel"/>
    <w:tmpl w:val="15BAC8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22223DBD"/>
    <w:multiLevelType w:val="hybridMultilevel"/>
    <w:tmpl w:val="DA1608AC"/>
    <w:lvl w:ilvl="0" w:tplc="0C090017">
      <w:start w:val="1"/>
      <w:numFmt w:val="lowerLetter"/>
      <w:lvlText w:val="%1)"/>
      <w:lvlJc w:val="left"/>
      <w:pPr>
        <w:ind w:left="1004" w:hanging="360"/>
      </w:p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230C30A5"/>
    <w:multiLevelType w:val="hybridMultilevel"/>
    <w:tmpl w:val="53C88E68"/>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2FBF014C"/>
    <w:multiLevelType w:val="hybridMultilevel"/>
    <w:tmpl w:val="BD8426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820BE5"/>
    <w:multiLevelType w:val="hybridMultilevel"/>
    <w:tmpl w:val="F5402BEE"/>
    <w:lvl w:ilvl="0" w:tplc="0C090017">
      <w:start w:val="1"/>
      <w:numFmt w:val="lowerLetter"/>
      <w:lvlText w:val="%1)"/>
      <w:lvlJc w:val="left"/>
      <w:pPr>
        <w:ind w:left="1004" w:hanging="360"/>
      </w:p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3C1362F9"/>
    <w:multiLevelType w:val="hybridMultilevel"/>
    <w:tmpl w:val="5E72CDE8"/>
    <w:lvl w:ilvl="0" w:tplc="0C090017">
      <w:start w:val="1"/>
      <w:numFmt w:val="lowerLetter"/>
      <w:lvlText w:val="%1)"/>
      <w:lvlJc w:val="left"/>
      <w:pPr>
        <w:ind w:left="1146" w:hanging="360"/>
      </w:pPr>
    </w:lvl>
    <w:lvl w:ilvl="1" w:tplc="ED3E1FF2">
      <w:start w:val="1"/>
      <w:numFmt w:val="lowerLetter"/>
      <w:lvlText w:val="%2)"/>
      <w:lvlJc w:val="left"/>
      <w:pPr>
        <w:ind w:left="644" w:hanging="360"/>
      </w:pPr>
      <w:rPr>
        <w:rFonts w:ascii="Arial" w:hAnsi="Arial" w:cs="Arial" w:hint="default"/>
        <w:sz w:val="19"/>
        <w:szCs w:val="19"/>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nsid w:val="57FA4895"/>
    <w:multiLevelType w:val="hybridMultilevel"/>
    <w:tmpl w:val="4F6E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5A1D98"/>
    <w:multiLevelType w:val="hybridMultilevel"/>
    <w:tmpl w:val="A2E2680E"/>
    <w:lvl w:ilvl="0" w:tplc="95080140">
      <w:start w:val="1"/>
      <w:numFmt w:val="lowerLetter"/>
      <w:lvlText w:val="%1)"/>
      <w:lvlJc w:val="left"/>
      <w:pPr>
        <w:ind w:left="1004" w:hanging="360"/>
      </w:pPr>
      <w:rPr>
        <w:rFonts w:ascii="Arial" w:hAnsi="Arial" w:cs="Arial" w:hint="default"/>
        <w:sz w:val="19"/>
        <w:szCs w:val="19"/>
      </w:rPr>
    </w:lvl>
    <w:lvl w:ilvl="1" w:tplc="95080140">
      <w:start w:val="1"/>
      <w:numFmt w:val="lowerLetter"/>
      <w:lvlText w:val="%2)"/>
      <w:lvlJc w:val="left"/>
      <w:pPr>
        <w:ind w:left="1724" w:hanging="360"/>
      </w:pPr>
      <w:rPr>
        <w:rFonts w:ascii="Arial" w:hAnsi="Arial" w:cs="Arial" w:hint="default"/>
        <w:sz w:val="19"/>
        <w:szCs w:val="19"/>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nsid w:val="5E5E12D5"/>
    <w:multiLevelType w:val="hybridMultilevel"/>
    <w:tmpl w:val="79A4FC5E"/>
    <w:lvl w:ilvl="0" w:tplc="95080140">
      <w:start w:val="1"/>
      <w:numFmt w:val="lowerLetter"/>
      <w:lvlText w:val="%1)"/>
      <w:lvlJc w:val="left"/>
      <w:pPr>
        <w:ind w:left="720" w:hanging="360"/>
      </w:pPr>
      <w:rPr>
        <w:rFonts w:ascii="Arial" w:hAnsi="Arial" w:cs="Arial" w:hint="default"/>
        <w:sz w:val="19"/>
        <w:szCs w:val="19"/>
      </w:rPr>
    </w:lvl>
    <w:lvl w:ilvl="1" w:tplc="95080140">
      <w:start w:val="1"/>
      <w:numFmt w:val="lowerLetter"/>
      <w:lvlText w:val="%2)"/>
      <w:lvlJc w:val="left"/>
      <w:pPr>
        <w:ind w:left="1440" w:hanging="360"/>
      </w:pPr>
      <w:rPr>
        <w:rFonts w:ascii="Arial" w:hAnsi="Arial" w:cs="Arial" w:hint="default"/>
        <w:sz w:val="19"/>
        <w:szCs w:val="19"/>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F730F8E"/>
    <w:multiLevelType w:val="hybridMultilevel"/>
    <w:tmpl w:val="5096096E"/>
    <w:lvl w:ilvl="0" w:tplc="0C090017">
      <w:start w:val="1"/>
      <w:numFmt w:val="lowerLetter"/>
      <w:lvlText w:val="%1)"/>
      <w:lvlJc w:val="left"/>
      <w:pPr>
        <w:ind w:left="1004" w:hanging="360"/>
      </w:p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nsid w:val="6F031E0C"/>
    <w:multiLevelType w:val="hybridMultilevel"/>
    <w:tmpl w:val="4FFCE624"/>
    <w:lvl w:ilvl="0" w:tplc="95080140">
      <w:start w:val="1"/>
      <w:numFmt w:val="lowerLetter"/>
      <w:lvlText w:val="%1)"/>
      <w:lvlJc w:val="left"/>
      <w:pPr>
        <w:ind w:left="1004" w:hanging="360"/>
      </w:pPr>
      <w:rPr>
        <w:rFonts w:ascii="Arial" w:hAnsi="Arial" w:cs="Arial" w:hint="default"/>
        <w:sz w:val="19"/>
        <w:szCs w:val="19"/>
      </w:rPr>
    </w:lvl>
    <w:lvl w:ilvl="1" w:tplc="95080140">
      <w:start w:val="1"/>
      <w:numFmt w:val="lowerLetter"/>
      <w:lvlText w:val="%2)"/>
      <w:lvlJc w:val="left"/>
      <w:pPr>
        <w:ind w:left="1724" w:hanging="360"/>
      </w:pPr>
      <w:rPr>
        <w:rFonts w:ascii="Arial" w:hAnsi="Arial" w:cs="Arial" w:hint="default"/>
        <w:sz w:val="19"/>
        <w:szCs w:val="19"/>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72C537DC"/>
    <w:multiLevelType w:val="hybridMultilevel"/>
    <w:tmpl w:val="602CE53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9C55A1A"/>
    <w:multiLevelType w:val="hybridMultilevel"/>
    <w:tmpl w:val="FCC22310"/>
    <w:lvl w:ilvl="0" w:tplc="0C09000F">
      <w:start w:val="1"/>
      <w:numFmt w:val="decimal"/>
      <w:lvlText w:val="%1."/>
      <w:lvlJc w:val="left"/>
      <w:pPr>
        <w:ind w:left="360" w:hanging="360"/>
      </w:pPr>
    </w:lvl>
    <w:lvl w:ilvl="1" w:tplc="0C090017">
      <w:start w:val="1"/>
      <w:numFmt w:val="lowerLetter"/>
      <w:lvlText w:val="%2)"/>
      <w:lvlJc w:val="left"/>
      <w:pPr>
        <w:ind w:left="786"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7">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nsid w:val="7BC33D88"/>
    <w:multiLevelType w:val="hybridMultilevel"/>
    <w:tmpl w:val="A68E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B56A97"/>
    <w:multiLevelType w:val="hybridMultilevel"/>
    <w:tmpl w:val="AD4CA738"/>
    <w:lvl w:ilvl="0" w:tplc="95080140">
      <w:start w:val="1"/>
      <w:numFmt w:val="lowerLetter"/>
      <w:lvlText w:val="%1)"/>
      <w:lvlJc w:val="left"/>
      <w:pPr>
        <w:ind w:left="1724" w:hanging="360"/>
      </w:pPr>
      <w:rPr>
        <w:rFonts w:ascii="Arial" w:hAnsi="Arial" w:cs="Arial" w:hint="default"/>
        <w:sz w:val="19"/>
        <w:szCs w:val="19"/>
      </w:rPr>
    </w:lvl>
    <w:lvl w:ilvl="1" w:tplc="95080140">
      <w:start w:val="1"/>
      <w:numFmt w:val="lowerLetter"/>
      <w:lvlText w:val="%2)"/>
      <w:lvlJc w:val="left"/>
      <w:pPr>
        <w:ind w:left="2444" w:hanging="360"/>
      </w:pPr>
      <w:rPr>
        <w:rFonts w:ascii="Arial" w:hAnsi="Arial" w:cs="Arial" w:hint="default"/>
        <w:sz w:val="19"/>
        <w:szCs w:val="19"/>
      </w:r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8">
    <w:nsid w:val="7F6D521F"/>
    <w:multiLevelType w:val="hybridMultilevel"/>
    <w:tmpl w:val="E528AFC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3"/>
  </w:num>
  <w:num w:numId="5">
    <w:abstractNumId w:val="2"/>
  </w:num>
  <w:num w:numId="6">
    <w:abstractNumId w:val="11"/>
  </w:num>
  <w:num w:numId="7">
    <w:abstractNumId w:val="4"/>
  </w:num>
  <w:num w:numId="8">
    <w:abstractNumId w:val="12"/>
  </w:num>
  <w:num w:numId="9">
    <w:abstractNumId w:val="1"/>
  </w:num>
  <w:num w:numId="10">
    <w:abstractNumId w:val="7"/>
  </w:num>
  <w:num w:numId="11">
    <w:abstractNumId w:val="5"/>
  </w:num>
  <w:num w:numId="12">
    <w:abstractNumId w:val="15"/>
  </w:num>
  <w:num w:numId="13">
    <w:abstractNumId w:val="6"/>
  </w:num>
  <w:num w:numId="14">
    <w:abstractNumId w:val="14"/>
  </w:num>
  <w:num w:numId="15">
    <w:abstractNumId w:val="18"/>
  </w:num>
  <w:num w:numId="16">
    <w:abstractNumId w:val="8"/>
  </w:num>
  <w:num w:numId="17">
    <w:abstractNumId w:val="3"/>
  </w:num>
  <w:num w:numId="18">
    <w:abstractNumId w:val="9"/>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85"/>
    <w:rsid w:val="000039BA"/>
    <w:rsid w:val="00031BF2"/>
    <w:rsid w:val="000367D8"/>
    <w:rsid w:val="000503BE"/>
    <w:rsid w:val="0007089C"/>
    <w:rsid w:val="00080641"/>
    <w:rsid w:val="000B24A2"/>
    <w:rsid w:val="000B668F"/>
    <w:rsid w:val="000D72E5"/>
    <w:rsid w:val="000E2B0A"/>
    <w:rsid w:val="000F1895"/>
    <w:rsid w:val="00107225"/>
    <w:rsid w:val="00114099"/>
    <w:rsid w:val="001172B6"/>
    <w:rsid w:val="001265D9"/>
    <w:rsid w:val="00136FDF"/>
    <w:rsid w:val="00151C43"/>
    <w:rsid w:val="00173693"/>
    <w:rsid w:val="00181B36"/>
    <w:rsid w:val="001A4FC1"/>
    <w:rsid w:val="001B0704"/>
    <w:rsid w:val="001C1711"/>
    <w:rsid w:val="001F52EC"/>
    <w:rsid w:val="00213341"/>
    <w:rsid w:val="002505A9"/>
    <w:rsid w:val="0025190F"/>
    <w:rsid w:val="002608E6"/>
    <w:rsid w:val="002609C7"/>
    <w:rsid w:val="002631EC"/>
    <w:rsid w:val="002643D3"/>
    <w:rsid w:val="002663A8"/>
    <w:rsid w:val="00273054"/>
    <w:rsid w:val="00290FD4"/>
    <w:rsid w:val="00294639"/>
    <w:rsid w:val="002951F2"/>
    <w:rsid w:val="002A1ECF"/>
    <w:rsid w:val="002B640E"/>
    <w:rsid w:val="002D5E3E"/>
    <w:rsid w:val="002E0091"/>
    <w:rsid w:val="002E476F"/>
    <w:rsid w:val="0030052C"/>
    <w:rsid w:val="003075B1"/>
    <w:rsid w:val="00325EFA"/>
    <w:rsid w:val="00330D74"/>
    <w:rsid w:val="0036353F"/>
    <w:rsid w:val="00365315"/>
    <w:rsid w:val="00371475"/>
    <w:rsid w:val="003867E3"/>
    <w:rsid w:val="00391C25"/>
    <w:rsid w:val="003A0B47"/>
    <w:rsid w:val="003A3713"/>
    <w:rsid w:val="003B6FBA"/>
    <w:rsid w:val="003C5685"/>
    <w:rsid w:val="003C5DE4"/>
    <w:rsid w:val="003D0185"/>
    <w:rsid w:val="003D11BA"/>
    <w:rsid w:val="00405006"/>
    <w:rsid w:val="0040518F"/>
    <w:rsid w:val="0040736C"/>
    <w:rsid w:val="00412C11"/>
    <w:rsid w:val="0046173F"/>
    <w:rsid w:val="00474E58"/>
    <w:rsid w:val="004A31A6"/>
    <w:rsid w:val="004B3A92"/>
    <w:rsid w:val="004C11E7"/>
    <w:rsid w:val="004C6E9E"/>
    <w:rsid w:val="004D148A"/>
    <w:rsid w:val="004F314D"/>
    <w:rsid w:val="005176FB"/>
    <w:rsid w:val="00530DC7"/>
    <w:rsid w:val="00537A03"/>
    <w:rsid w:val="0055377C"/>
    <w:rsid w:val="00561A71"/>
    <w:rsid w:val="005773E5"/>
    <w:rsid w:val="005913BA"/>
    <w:rsid w:val="005A3FD3"/>
    <w:rsid w:val="005C0069"/>
    <w:rsid w:val="005C08C8"/>
    <w:rsid w:val="005C5A21"/>
    <w:rsid w:val="005D673C"/>
    <w:rsid w:val="005D781A"/>
    <w:rsid w:val="005E177C"/>
    <w:rsid w:val="0062048A"/>
    <w:rsid w:val="006544BD"/>
    <w:rsid w:val="00663157"/>
    <w:rsid w:val="006B79C2"/>
    <w:rsid w:val="006C65FF"/>
    <w:rsid w:val="006D100B"/>
    <w:rsid w:val="006D32C2"/>
    <w:rsid w:val="006D65BF"/>
    <w:rsid w:val="006D7D08"/>
    <w:rsid w:val="00732431"/>
    <w:rsid w:val="007326EE"/>
    <w:rsid w:val="00741AFE"/>
    <w:rsid w:val="0076241F"/>
    <w:rsid w:val="00766396"/>
    <w:rsid w:val="00770A18"/>
    <w:rsid w:val="00771131"/>
    <w:rsid w:val="00781E79"/>
    <w:rsid w:val="007C083D"/>
    <w:rsid w:val="007C1E6C"/>
    <w:rsid w:val="007E581D"/>
    <w:rsid w:val="00804447"/>
    <w:rsid w:val="00805AA5"/>
    <w:rsid w:val="00810D25"/>
    <w:rsid w:val="008131F2"/>
    <w:rsid w:val="008149DF"/>
    <w:rsid w:val="00833916"/>
    <w:rsid w:val="00833BE2"/>
    <w:rsid w:val="00835AE1"/>
    <w:rsid w:val="0085352E"/>
    <w:rsid w:val="00882BFE"/>
    <w:rsid w:val="0088612C"/>
    <w:rsid w:val="008A6BA4"/>
    <w:rsid w:val="008C407B"/>
    <w:rsid w:val="008C42CF"/>
    <w:rsid w:val="008D3430"/>
    <w:rsid w:val="009040B4"/>
    <w:rsid w:val="00904426"/>
    <w:rsid w:val="00910B06"/>
    <w:rsid w:val="00915A1F"/>
    <w:rsid w:val="00927356"/>
    <w:rsid w:val="00934439"/>
    <w:rsid w:val="009419B9"/>
    <w:rsid w:val="00944530"/>
    <w:rsid w:val="009502AB"/>
    <w:rsid w:val="00956B08"/>
    <w:rsid w:val="00957E67"/>
    <w:rsid w:val="009962D2"/>
    <w:rsid w:val="009A67F2"/>
    <w:rsid w:val="009A782C"/>
    <w:rsid w:val="009A7E8B"/>
    <w:rsid w:val="009B006F"/>
    <w:rsid w:val="009B44D2"/>
    <w:rsid w:val="009B7A22"/>
    <w:rsid w:val="009C6CB3"/>
    <w:rsid w:val="009D1817"/>
    <w:rsid w:val="009D304A"/>
    <w:rsid w:val="009E22EA"/>
    <w:rsid w:val="009E3D7A"/>
    <w:rsid w:val="00A248E8"/>
    <w:rsid w:val="00A403E5"/>
    <w:rsid w:val="00A41CF2"/>
    <w:rsid w:val="00A54895"/>
    <w:rsid w:val="00A63D12"/>
    <w:rsid w:val="00A65D36"/>
    <w:rsid w:val="00A80BEB"/>
    <w:rsid w:val="00AB68C1"/>
    <w:rsid w:val="00AB7DE3"/>
    <w:rsid w:val="00AC7F35"/>
    <w:rsid w:val="00AD062E"/>
    <w:rsid w:val="00AD2468"/>
    <w:rsid w:val="00AD4179"/>
    <w:rsid w:val="00AE4DCF"/>
    <w:rsid w:val="00B10BDB"/>
    <w:rsid w:val="00B31977"/>
    <w:rsid w:val="00B60DAA"/>
    <w:rsid w:val="00B74193"/>
    <w:rsid w:val="00B91335"/>
    <w:rsid w:val="00BA6195"/>
    <w:rsid w:val="00BB5ADD"/>
    <w:rsid w:val="00BB7D2A"/>
    <w:rsid w:val="00BD21D9"/>
    <w:rsid w:val="00BD619B"/>
    <w:rsid w:val="00BD6C47"/>
    <w:rsid w:val="00BE788A"/>
    <w:rsid w:val="00BF0787"/>
    <w:rsid w:val="00BF38DD"/>
    <w:rsid w:val="00BF454A"/>
    <w:rsid w:val="00BF4C19"/>
    <w:rsid w:val="00C05602"/>
    <w:rsid w:val="00C44119"/>
    <w:rsid w:val="00C61AD0"/>
    <w:rsid w:val="00C90FEE"/>
    <w:rsid w:val="00C963BC"/>
    <w:rsid w:val="00CB4B11"/>
    <w:rsid w:val="00CC4CF6"/>
    <w:rsid w:val="00CD5F60"/>
    <w:rsid w:val="00CE2E98"/>
    <w:rsid w:val="00CF32F2"/>
    <w:rsid w:val="00D128F8"/>
    <w:rsid w:val="00D12E96"/>
    <w:rsid w:val="00D25C8B"/>
    <w:rsid w:val="00D279DF"/>
    <w:rsid w:val="00D308BF"/>
    <w:rsid w:val="00D57ECD"/>
    <w:rsid w:val="00D904D7"/>
    <w:rsid w:val="00D91306"/>
    <w:rsid w:val="00D91E0F"/>
    <w:rsid w:val="00D96A3D"/>
    <w:rsid w:val="00DB0879"/>
    <w:rsid w:val="00DB6475"/>
    <w:rsid w:val="00DD0DF2"/>
    <w:rsid w:val="00DF2E26"/>
    <w:rsid w:val="00E14045"/>
    <w:rsid w:val="00E23B4A"/>
    <w:rsid w:val="00E32B8E"/>
    <w:rsid w:val="00E44D3B"/>
    <w:rsid w:val="00E92AE6"/>
    <w:rsid w:val="00E93A79"/>
    <w:rsid w:val="00EA0ED1"/>
    <w:rsid w:val="00ED7E64"/>
    <w:rsid w:val="00F04414"/>
    <w:rsid w:val="00F05780"/>
    <w:rsid w:val="00F14115"/>
    <w:rsid w:val="00F16EEC"/>
    <w:rsid w:val="00F50ED8"/>
    <w:rsid w:val="00F64512"/>
    <w:rsid w:val="00F64533"/>
    <w:rsid w:val="00F85CC3"/>
    <w:rsid w:val="00F87F4F"/>
    <w:rsid w:val="00F94C94"/>
    <w:rsid w:val="00F9540D"/>
    <w:rsid w:val="00F95C3B"/>
    <w:rsid w:val="00FB3482"/>
    <w:rsid w:val="00FC6495"/>
    <w:rsid w:val="00FE1C1C"/>
    <w:rsid w:val="00FF22EC"/>
    <w:rsid w:val="00FF2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F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736C"/>
    <w:pPr>
      <w:tabs>
        <w:tab w:val="center" w:pos="4320"/>
        <w:tab w:val="right" w:pos="8640"/>
      </w:tabs>
    </w:pPr>
    <w:rPr>
      <w:sz w:val="20"/>
      <w:szCs w:val="20"/>
      <w:lang w:val="en-US"/>
    </w:rPr>
  </w:style>
  <w:style w:type="paragraph" w:styleId="ListParagraph">
    <w:name w:val="List Paragraph"/>
    <w:basedOn w:val="Normal"/>
    <w:uiPriority w:val="34"/>
    <w:qFormat/>
    <w:rsid w:val="001A4FC1"/>
    <w:pPr>
      <w:ind w:left="720"/>
      <w:contextualSpacing/>
    </w:pPr>
    <w:rPr>
      <w:sz w:val="20"/>
      <w:szCs w:val="20"/>
      <w:lang w:val="en-US"/>
    </w:rPr>
  </w:style>
  <w:style w:type="paragraph" w:styleId="Footer">
    <w:name w:val="footer"/>
    <w:basedOn w:val="Normal"/>
    <w:rsid w:val="005C08C8"/>
    <w:pPr>
      <w:tabs>
        <w:tab w:val="center" w:pos="4153"/>
        <w:tab w:val="right" w:pos="8306"/>
      </w:tabs>
    </w:pPr>
  </w:style>
  <w:style w:type="character" w:customStyle="1" w:styleId="HeaderChar">
    <w:name w:val="Header Char"/>
    <w:basedOn w:val="DefaultParagraphFont"/>
    <w:link w:val="Header"/>
    <w:rsid w:val="005D781A"/>
    <w:rPr>
      <w:lang w:val="en-US"/>
    </w:rPr>
  </w:style>
  <w:style w:type="paragraph" w:styleId="PlainText">
    <w:name w:val="Plain Text"/>
    <w:basedOn w:val="Normal"/>
    <w:link w:val="PlainTextChar"/>
    <w:uiPriority w:val="99"/>
    <w:unhideWhenUsed/>
    <w:rsid w:val="004D148A"/>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D148A"/>
    <w:rPr>
      <w:rFonts w:ascii="Consolas" w:eastAsia="Calibri" w:hAnsi="Consolas" w:cs="Times New Roman"/>
      <w:sz w:val="21"/>
      <w:szCs w:val="21"/>
      <w:lang w:eastAsia="en-US"/>
    </w:rPr>
  </w:style>
  <w:style w:type="table" w:styleId="LightList-Accent5">
    <w:name w:val="Light List Accent 5"/>
    <w:basedOn w:val="TableNormal"/>
    <w:uiPriority w:val="61"/>
    <w:rsid w:val="003B6FBA"/>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Spacing">
    <w:name w:val="No Spacing"/>
    <w:uiPriority w:val="1"/>
    <w:qFormat/>
    <w:rsid w:val="003B6FBA"/>
    <w:rPr>
      <w:rFonts w:ascii="Calibri" w:eastAsia="Calibri" w:hAnsi="Calibri"/>
      <w:sz w:val="22"/>
      <w:szCs w:val="22"/>
      <w:lang w:eastAsia="en-US"/>
    </w:rPr>
  </w:style>
  <w:style w:type="paragraph" w:styleId="BalloonText">
    <w:name w:val="Balloon Text"/>
    <w:basedOn w:val="Normal"/>
    <w:link w:val="BalloonTextChar"/>
    <w:rsid w:val="00663157"/>
    <w:rPr>
      <w:rFonts w:ascii="Tahoma" w:hAnsi="Tahoma" w:cs="Tahoma"/>
      <w:sz w:val="16"/>
      <w:szCs w:val="16"/>
    </w:rPr>
  </w:style>
  <w:style w:type="character" w:customStyle="1" w:styleId="BalloonTextChar">
    <w:name w:val="Balloon Text Char"/>
    <w:basedOn w:val="DefaultParagraphFont"/>
    <w:link w:val="BalloonText"/>
    <w:rsid w:val="00663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F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736C"/>
    <w:pPr>
      <w:tabs>
        <w:tab w:val="center" w:pos="4320"/>
        <w:tab w:val="right" w:pos="8640"/>
      </w:tabs>
    </w:pPr>
    <w:rPr>
      <w:sz w:val="20"/>
      <w:szCs w:val="20"/>
      <w:lang w:val="en-US"/>
    </w:rPr>
  </w:style>
  <w:style w:type="paragraph" w:styleId="ListParagraph">
    <w:name w:val="List Paragraph"/>
    <w:basedOn w:val="Normal"/>
    <w:uiPriority w:val="34"/>
    <w:qFormat/>
    <w:rsid w:val="001A4FC1"/>
    <w:pPr>
      <w:ind w:left="720"/>
      <w:contextualSpacing/>
    </w:pPr>
    <w:rPr>
      <w:sz w:val="20"/>
      <w:szCs w:val="20"/>
      <w:lang w:val="en-US"/>
    </w:rPr>
  </w:style>
  <w:style w:type="paragraph" w:styleId="Footer">
    <w:name w:val="footer"/>
    <w:basedOn w:val="Normal"/>
    <w:rsid w:val="005C08C8"/>
    <w:pPr>
      <w:tabs>
        <w:tab w:val="center" w:pos="4153"/>
        <w:tab w:val="right" w:pos="8306"/>
      </w:tabs>
    </w:pPr>
  </w:style>
  <w:style w:type="character" w:customStyle="1" w:styleId="HeaderChar">
    <w:name w:val="Header Char"/>
    <w:basedOn w:val="DefaultParagraphFont"/>
    <w:link w:val="Header"/>
    <w:rsid w:val="005D781A"/>
    <w:rPr>
      <w:lang w:val="en-US"/>
    </w:rPr>
  </w:style>
  <w:style w:type="paragraph" w:styleId="PlainText">
    <w:name w:val="Plain Text"/>
    <w:basedOn w:val="Normal"/>
    <w:link w:val="PlainTextChar"/>
    <w:uiPriority w:val="99"/>
    <w:unhideWhenUsed/>
    <w:rsid w:val="004D148A"/>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D148A"/>
    <w:rPr>
      <w:rFonts w:ascii="Consolas" w:eastAsia="Calibri" w:hAnsi="Consolas" w:cs="Times New Roman"/>
      <w:sz w:val="21"/>
      <w:szCs w:val="21"/>
      <w:lang w:eastAsia="en-US"/>
    </w:rPr>
  </w:style>
  <w:style w:type="table" w:styleId="LightList-Accent5">
    <w:name w:val="Light List Accent 5"/>
    <w:basedOn w:val="TableNormal"/>
    <w:uiPriority w:val="61"/>
    <w:rsid w:val="003B6FBA"/>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Spacing">
    <w:name w:val="No Spacing"/>
    <w:uiPriority w:val="1"/>
    <w:qFormat/>
    <w:rsid w:val="003B6FBA"/>
    <w:rPr>
      <w:rFonts w:ascii="Calibri" w:eastAsia="Calibri" w:hAnsi="Calibri"/>
      <w:sz w:val="22"/>
      <w:szCs w:val="22"/>
      <w:lang w:eastAsia="en-US"/>
    </w:rPr>
  </w:style>
  <w:style w:type="paragraph" w:styleId="BalloonText">
    <w:name w:val="Balloon Text"/>
    <w:basedOn w:val="Normal"/>
    <w:link w:val="BalloonTextChar"/>
    <w:rsid w:val="00663157"/>
    <w:rPr>
      <w:rFonts w:ascii="Tahoma" w:hAnsi="Tahoma" w:cs="Tahoma"/>
      <w:sz w:val="16"/>
      <w:szCs w:val="16"/>
    </w:rPr>
  </w:style>
  <w:style w:type="character" w:customStyle="1" w:styleId="BalloonTextChar">
    <w:name w:val="Balloon Text Char"/>
    <w:basedOn w:val="DefaultParagraphFont"/>
    <w:link w:val="BalloonText"/>
    <w:rsid w:val="00663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7949">
      <w:bodyDiv w:val="1"/>
      <w:marLeft w:val="0"/>
      <w:marRight w:val="0"/>
      <w:marTop w:val="0"/>
      <w:marBottom w:val="0"/>
      <w:divBdr>
        <w:top w:val="none" w:sz="0" w:space="0" w:color="auto"/>
        <w:left w:val="none" w:sz="0" w:space="0" w:color="auto"/>
        <w:bottom w:val="none" w:sz="0" w:space="0" w:color="auto"/>
        <w:right w:val="none" w:sz="0" w:space="0" w:color="auto"/>
      </w:divBdr>
    </w:div>
    <w:div w:id="410390926">
      <w:bodyDiv w:val="1"/>
      <w:marLeft w:val="0"/>
      <w:marRight w:val="0"/>
      <w:marTop w:val="0"/>
      <w:marBottom w:val="0"/>
      <w:divBdr>
        <w:top w:val="none" w:sz="0" w:space="0" w:color="auto"/>
        <w:left w:val="none" w:sz="0" w:space="0" w:color="auto"/>
        <w:bottom w:val="none" w:sz="0" w:space="0" w:color="auto"/>
        <w:right w:val="none" w:sz="0" w:space="0" w:color="auto"/>
      </w:divBdr>
    </w:div>
    <w:div w:id="417218357">
      <w:bodyDiv w:val="1"/>
      <w:marLeft w:val="0"/>
      <w:marRight w:val="0"/>
      <w:marTop w:val="0"/>
      <w:marBottom w:val="0"/>
      <w:divBdr>
        <w:top w:val="none" w:sz="0" w:space="0" w:color="auto"/>
        <w:left w:val="none" w:sz="0" w:space="0" w:color="auto"/>
        <w:bottom w:val="none" w:sz="0" w:space="0" w:color="auto"/>
        <w:right w:val="none" w:sz="0" w:space="0" w:color="auto"/>
      </w:divBdr>
    </w:div>
    <w:div w:id="428963345">
      <w:bodyDiv w:val="1"/>
      <w:marLeft w:val="0"/>
      <w:marRight w:val="0"/>
      <w:marTop w:val="0"/>
      <w:marBottom w:val="0"/>
      <w:divBdr>
        <w:top w:val="none" w:sz="0" w:space="0" w:color="auto"/>
        <w:left w:val="none" w:sz="0" w:space="0" w:color="auto"/>
        <w:bottom w:val="none" w:sz="0" w:space="0" w:color="auto"/>
        <w:right w:val="none" w:sz="0" w:space="0" w:color="auto"/>
      </w:divBdr>
    </w:div>
    <w:div w:id="792407483">
      <w:bodyDiv w:val="1"/>
      <w:marLeft w:val="0"/>
      <w:marRight w:val="0"/>
      <w:marTop w:val="0"/>
      <w:marBottom w:val="0"/>
      <w:divBdr>
        <w:top w:val="none" w:sz="0" w:space="0" w:color="auto"/>
        <w:left w:val="none" w:sz="0" w:space="0" w:color="auto"/>
        <w:bottom w:val="none" w:sz="0" w:space="0" w:color="auto"/>
        <w:right w:val="none" w:sz="0" w:space="0" w:color="auto"/>
      </w:divBdr>
    </w:div>
    <w:div w:id="862788744">
      <w:bodyDiv w:val="1"/>
      <w:marLeft w:val="0"/>
      <w:marRight w:val="0"/>
      <w:marTop w:val="0"/>
      <w:marBottom w:val="0"/>
      <w:divBdr>
        <w:top w:val="none" w:sz="0" w:space="0" w:color="auto"/>
        <w:left w:val="none" w:sz="0" w:space="0" w:color="auto"/>
        <w:bottom w:val="none" w:sz="0" w:space="0" w:color="auto"/>
        <w:right w:val="none" w:sz="0" w:space="0" w:color="auto"/>
      </w:divBdr>
    </w:div>
    <w:div w:id="930506616">
      <w:bodyDiv w:val="1"/>
      <w:marLeft w:val="0"/>
      <w:marRight w:val="0"/>
      <w:marTop w:val="0"/>
      <w:marBottom w:val="0"/>
      <w:divBdr>
        <w:top w:val="none" w:sz="0" w:space="0" w:color="auto"/>
        <w:left w:val="none" w:sz="0" w:space="0" w:color="auto"/>
        <w:bottom w:val="none" w:sz="0" w:space="0" w:color="auto"/>
        <w:right w:val="none" w:sz="0" w:space="0" w:color="auto"/>
      </w:divBdr>
    </w:div>
    <w:div w:id="985163073">
      <w:bodyDiv w:val="1"/>
      <w:marLeft w:val="0"/>
      <w:marRight w:val="0"/>
      <w:marTop w:val="0"/>
      <w:marBottom w:val="0"/>
      <w:divBdr>
        <w:top w:val="none" w:sz="0" w:space="0" w:color="auto"/>
        <w:left w:val="none" w:sz="0" w:space="0" w:color="auto"/>
        <w:bottom w:val="none" w:sz="0" w:space="0" w:color="auto"/>
        <w:right w:val="none" w:sz="0" w:space="0" w:color="auto"/>
      </w:divBdr>
    </w:div>
    <w:div w:id="1305964526">
      <w:bodyDiv w:val="1"/>
      <w:marLeft w:val="0"/>
      <w:marRight w:val="0"/>
      <w:marTop w:val="0"/>
      <w:marBottom w:val="0"/>
      <w:divBdr>
        <w:top w:val="none" w:sz="0" w:space="0" w:color="auto"/>
        <w:left w:val="none" w:sz="0" w:space="0" w:color="auto"/>
        <w:bottom w:val="none" w:sz="0" w:space="0" w:color="auto"/>
        <w:right w:val="none" w:sz="0" w:space="0" w:color="auto"/>
      </w:divBdr>
    </w:div>
    <w:div w:id="1376543813">
      <w:bodyDiv w:val="1"/>
      <w:marLeft w:val="0"/>
      <w:marRight w:val="0"/>
      <w:marTop w:val="0"/>
      <w:marBottom w:val="0"/>
      <w:divBdr>
        <w:top w:val="none" w:sz="0" w:space="0" w:color="auto"/>
        <w:left w:val="none" w:sz="0" w:space="0" w:color="auto"/>
        <w:bottom w:val="none" w:sz="0" w:space="0" w:color="auto"/>
        <w:right w:val="none" w:sz="0" w:space="0" w:color="auto"/>
      </w:divBdr>
    </w:div>
    <w:div w:id="1528832704">
      <w:bodyDiv w:val="1"/>
      <w:marLeft w:val="0"/>
      <w:marRight w:val="0"/>
      <w:marTop w:val="0"/>
      <w:marBottom w:val="0"/>
      <w:divBdr>
        <w:top w:val="none" w:sz="0" w:space="0" w:color="auto"/>
        <w:left w:val="none" w:sz="0" w:space="0" w:color="auto"/>
        <w:bottom w:val="none" w:sz="0" w:space="0" w:color="auto"/>
        <w:right w:val="none" w:sz="0" w:space="0" w:color="auto"/>
      </w:divBdr>
    </w:div>
    <w:div w:id="1840340165">
      <w:bodyDiv w:val="1"/>
      <w:marLeft w:val="0"/>
      <w:marRight w:val="0"/>
      <w:marTop w:val="0"/>
      <w:marBottom w:val="0"/>
      <w:divBdr>
        <w:top w:val="none" w:sz="0" w:space="0" w:color="auto"/>
        <w:left w:val="none" w:sz="0" w:space="0" w:color="auto"/>
        <w:bottom w:val="none" w:sz="0" w:space="0" w:color="auto"/>
        <w:right w:val="none" w:sz="0" w:space="0" w:color="auto"/>
      </w:divBdr>
      <w:divsChild>
        <w:div w:id="276104253">
          <w:marLeft w:val="0"/>
          <w:marRight w:val="0"/>
          <w:marTop w:val="0"/>
          <w:marBottom w:val="0"/>
          <w:divBdr>
            <w:top w:val="none" w:sz="0" w:space="0" w:color="auto"/>
            <w:left w:val="none" w:sz="0" w:space="0" w:color="auto"/>
            <w:bottom w:val="none" w:sz="0" w:space="0" w:color="auto"/>
            <w:right w:val="none" w:sz="0" w:space="0" w:color="auto"/>
          </w:divBdr>
        </w:div>
      </w:divsChild>
    </w:div>
    <w:div w:id="1845433362">
      <w:bodyDiv w:val="1"/>
      <w:marLeft w:val="0"/>
      <w:marRight w:val="0"/>
      <w:marTop w:val="0"/>
      <w:marBottom w:val="0"/>
      <w:divBdr>
        <w:top w:val="none" w:sz="0" w:space="0" w:color="auto"/>
        <w:left w:val="none" w:sz="0" w:space="0" w:color="auto"/>
        <w:bottom w:val="none" w:sz="0" w:space="0" w:color="auto"/>
        <w:right w:val="none" w:sz="0" w:space="0" w:color="auto"/>
      </w:divBdr>
    </w:div>
    <w:div w:id="2037538213">
      <w:bodyDiv w:val="1"/>
      <w:marLeft w:val="0"/>
      <w:marRight w:val="0"/>
      <w:marTop w:val="0"/>
      <w:marBottom w:val="0"/>
      <w:divBdr>
        <w:top w:val="none" w:sz="0" w:space="0" w:color="auto"/>
        <w:left w:val="none" w:sz="0" w:space="0" w:color="auto"/>
        <w:bottom w:val="none" w:sz="0" w:space="0" w:color="auto"/>
        <w:right w:val="none" w:sz="0" w:space="0" w:color="auto"/>
      </w:divBdr>
    </w:div>
    <w:div w:id="20982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18005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No</vt:lpstr>
    </vt:vector>
  </TitlesOfParts>
  <Company>Northern Territory Government</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gg</dc:creator>
  <cp:lastModifiedBy>josc</cp:lastModifiedBy>
  <cp:revision>4</cp:revision>
  <cp:lastPrinted>2014-08-15T07:16:00Z</cp:lastPrinted>
  <dcterms:created xsi:type="dcterms:W3CDTF">2014-08-19T00:53:00Z</dcterms:created>
  <dcterms:modified xsi:type="dcterms:W3CDTF">2014-08-19T07:47:00Z</dcterms:modified>
</cp:coreProperties>
</file>