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01" w:rsidRDefault="00E53901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901" w:rsidRDefault="00E53901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C61" w:rsidRPr="00317F07" w:rsidRDefault="000C2C61" w:rsidP="000C2C61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b/>
          <w:sz w:val="24"/>
          <w:szCs w:val="24"/>
        </w:rPr>
      </w:pPr>
      <w:r w:rsidRPr="00317F07">
        <w:rPr>
          <w:rFonts w:ascii="Arial" w:eastAsia="NotDefSpecial" w:hAnsi="Arial" w:cs="Arial"/>
          <w:b/>
          <w:sz w:val="24"/>
          <w:szCs w:val="24"/>
        </w:rPr>
        <w:t>School Age Children - Attendance and Enrolments, Home Liaison Officers</w:t>
      </w:r>
    </w:p>
    <w:p w:rsidR="000C2C61" w:rsidRPr="00317F07" w:rsidRDefault="000C2C61" w:rsidP="000C2C61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0C2C61" w:rsidRPr="000C2C61" w:rsidRDefault="000C2C61" w:rsidP="000C2C6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0C2C61">
        <w:rPr>
          <w:rFonts w:ascii="Arial" w:eastAsia="NotDefSpecial" w:hAnsi="Arial" w:cs="Arial"/>
          <w:b/>
          <w:sz w:val="24"/>
          <w:szCs w:val="24"/>
        </w:rPr>
        <w:t>1.</w:t>
      </w:r>
      <w:r w:rsidRPr="000C2C61">
        <w:rPr>
          <w:rFonts w:ascii="Arial" w:eastAsia="NotDefSpecial" w:hAnsi="Arial" w:cs="Arial"/>
          <w:b/>
          <w:sz w:val="24"/>
          <w:szCs w:val="24"/>
        </w:rPr>
        <w:tab/>
        <w:t>The total number of school age children in the Northern Territory in 2009.</w:t>
      </w:r>
    </w:p>
    <w:p w:rsidR="00F317D4" w:rsidRDefault="00F317D4" w:rsidP="000C2C6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A482F" w:rsidRDefault="00F317D4" w:rsidP="00F96C7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Australian Bureau of Statistics (ABS) Estimated Residential Population (ERP) suggests there are approximately 34 367 school aged children (6 – 15 years old) as at June 2009.</w:t>
      </w:r>
      <w:r w:rsidR="00996222">
        <w:rPr>
          <w:rFonts w:ascii="Arial" w:hAnsi="Arial" w:cs="Arial"/>
          <w:sz w:val="24"/>
          <w:szCs w:val="24"/>
        </w:rPr>
        <w:t xml:space="preserve"> It should be noted that this figure is an estimate. </w:t>
      </w:r>
    </w:p>
    <w:p w:rsidR="00767DA7" w:rsidRDefault="00767DA7" w:rsidP="00E628F0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p w:rsidR="000C2C61" w:rsidRDefault="000C2C61" w:rsidP="000C2C6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0C2C61">
        <w:rPr>
          <w:rFonts w:ascii="Arial" w:eastAsia="NotDefSpecial" w:hAnsi="Arial" w:cs="Arial"/>
          <w:b/>
          <w:sz w:val="24"/>
          <w:szCs w:val="24"/>
        </w:rPr>
        <w:t>2.</w:t>
      </w:r>
      <w:r w:rsidRPr="000C2C61">
        <w:rPr>
          <w:rFonts w:ascii="Arial" w:eastAsia="NotDefSpecial" w:hAnsi="Arial" w:cs="Arial"/>
          <w:b/>
          <w:sz w:val="24"/>
          <w:szCs w:val="24"/>
        </w:rPr>
        <w:tab/>
        <w:t>The total number of school age children in the Northern Territory who were enrolled in 2009.</w:t>
      </w:r>
    </w:p>
    <w:p w:rsidR="00F317D4" w:rsidRPr="00767DA7" w:rsidRDefault="00F317D4" w:rsidP="00767DA7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p w:rsidR="00F317D4" w:rsidRDefault="00DC0605" w:rsidP="00DC0605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317D4">
        <w:rPr>
          <w:rFonts w:ascii="Arial" w:hAnsi="Arial" w:cs="Arial"/>
          <w:sz w:val="24"/>
          <w:szCs w:val="24"/>
        </w:rPr>
        <w:t xml:space="preserve">The number of enrolments </w:t>
      </w:r>
      <w:r w:rsidR="00F317D4">
        <w:rPr>
          <w:rFonts w:ascii="Arial" w:hAnsi="Arial" w:cs="Arial"/>
          <w:sz w:val="24"/>
          <w:szCs w:val="24"/>
        </w:rPr>
        <w:t xml:space="preserve">of school age children </w:t>
      </w:r>
      <w:r w:rsidRPr="00F317D4">
        <w:rPr>
          <w:rFonts w:ascii="Arial" w:hAnsi="Arial" w:cs="Arial"/>
          <w:sz w:val="24"/>
          <w:szCs w:val="24"/>
        </w:rPr>
        <w:t xml:space="preserve">as at </w:t>
      </w:r>
      <w:r w:rsidR="00F317D4" w:rsidRPr="00F317D4">
        <w:rPr>
          <w:rFonts w:ascii="Arial" w:hAnsi="Arial" w:cs="Arial"/>
          <w:sz w:val="24"/>
          <w:szCs w:val="24"/>
        </w:rPr>
        <w:t xml:space="preserve">7 </w:t>
      </w:r>
      <w:r w:rsidRPr="00F317D4">
        <w:rPr>
          <w:rFonts w:ascii="Arial" w:hAnsi="Arial" w:cs="Arial"/>
          <w:sz w:val="24"/>
          <w:szCs w:val="24"/>
        </w:rPr>
        <w:t xml:space="preserve">August 2009 was </w:t>
      </w:r>
      <w:r w:rsidR="00F317D4">
        <w:rPr>
          <w:rFonts w:ascii="Arial" w:hAnsi="Arial" w:cs="Arial"/>
          <w:sz w:val="24"/>
          <w:szCs w:val="24"/>
        </w:rPr>
        <w:t>31 664. Of these, 23 512 enrolments were at Northern Territory government schools.</w:t>
      </w:r>
      <w:r w:rsidRPr="00F317D4">
        <w:rPr>
          <w:rFonts w:ascii="Arial" w:hAnsi="Arial" w:cs="Arial"/>
          <w:sz w:val="24"/>
          <w:szCs w:val="24"/>
        </w:rPr>
        <w:t xml:space="preserve"> These figures represent a count of enrolments in </w:t>
      </w:r>
      <w:r w:rsidR="00F317D4">
        <w:rPr>
          <w:rFonts w:ascii="Arial" w:hAnsi="Arial" w:cs="Arial"/>
          <w:sz w:val="24"/>
          <w:szCs w:val="24"/>
        </w:rPr>
        <w:t>NT</w:t>
      </w:r>
      <w:r w:rsidRPr="00F317D4">
        <w:rPr>
          <w:rFonts w:ascii="Arial" w:hAnsi="Arial" w:cs="Arial"/>
          <w:sz w:val="24"/>
          <w:szCs w:val="24"/>
        </w:rPr>
        <w:t xml:space="preserve"> schools </w:t>
      </w:r>
      <w:r w:rsidR="00F317D4">
        <w:rPr>
          <w:rFonts w:ascii="Arial" w:hAnsi="Arial" w:cs="Arial"/>
          <w:sz w:val="24"/>
          <w:szCs w:val="24"/>
        </w:rPr>
        <w:t>on a single day, as defined by the ABS National Schools Statistics Collection (NSSC).</w:t>
      </w:r>
    </w:p>
    <w:p w:rsidR="00767DA7" w:rsidRPr="00F105C5" w:rsidRDefault="00767DA7" w:rsidP="000C2C6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F105C5">
        <w:rPr>
          <w:rFonts w:ascii="Arial" w:eastAsia="NotDefSpecial" w:hAnsi="Arial" w:cs="Arial"/>
          <w:b/>
          <w:sz w:val="24"/>
          <w:szCs w:val="24"/>
        </w:rPr>
        <w:t>3.</w:t>
      </w:r>
      <w:r w:rsidRPr="00F105C5">
        <w:rPr>
          <w:rFonts w:ascii="Arial" w:eastAsia="NotDefSpecial" w:hAnsi="Arial" w:cs="Arial"/>
          <w:b/>
          <w:sz w:val="24"/>
          <w:szCs w:val="24"/>
        </w:rPr>
        <w:tab/>
        <w:t>The total number of enrolled school age children in the Northern Territory who failed to attend school at all in 2009.</w:t>
      </w: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105C5" w:rsidRPr="00F105C5" w:rsidRDefault="00F105C5" w:rsidP="00F105C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105C5">
        <w:rPr>
          <w:rFonts w:ascii="Arial" w:hAnsi="Arial" w:cs="Arial"/>
          <w:sz w:val="24"/>
          <w:szCs w:val="24"/>
        </w:rPr>
        <w:t>Of the students who were enrolled at Northern Territory government schools during 2009, approximately 170 did not attend at all.</w:t>
      </w:r>
    </w:p>
    <w:p w:rsidR="00F105C5" w:rsidRPr="00F105C5" w:rsidRDefault="00F105C5" w:rsidP="00F105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F105C5">
        <w:rPr>
          <w:rFonts w:ascii="Arial" w:eastAsia="NotDefSpecial" w:hAnsi="Arial" w:cs="Arial"/>
          <w:b/>
          <w:sz w:val="24"/>
          <w:szCs w:val="24"/>
        </w:rPr>
        <w:t>4.</w:t>
      </w:r>
      <w:r w:rsidRPr="00F105C5">
        <w:rPr>
          <w:rFonts w:ascii="Arial" w:eastAsia="NotDefSpecial" w:hAnsi="Arial" w:cs="Arial"/>
          <w:b/>
          <w:sz w:val="24"/>
          <w:szCs w:val="24"/>
        </w:rPr>
        <w:tab/>
        <w:t>The total number of enrolled school age children in the Northern Territory who failed to attend school more than 25% of the time in 2009.</w:t>
      </w: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105C5" w:rsidRPr="00F105C5" w:rsidRDefault="00F105C5" w:rsidP="00F105C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105C5">
        <w:rPr>
          <w:rFonts w:ascii="Arial" w:hAnsi="Arial" w:cs="Arial"/>
          <w:sz w:val="24"/>
          <w:szCs w:val="24"/>
        </w:rPr>
        <w:t>Of the students who were enrolled at Northern Territory government schools during 2009, approximately 1510 only attended school up to 25% of the time.</w:t>
      </w:r>
    </w:p>
    <w:p w:rsidR="00F105C5" w:rsidRPr="00F105C5" w:rsidRDefault="00F105C5" w:rsidP="00F105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F105C5">
        <w:rPr>
          <w:rFonts w:ascii="Arial" w:eastAsia="NotDefSpecial" w:hAnsi="Arial" w:cs="Arial"/>
          <w:b/>
          <w:sz w:val="24"/>
          <w:szCs w:val="24"/>
        </w:rPr>
        <w:t>5.</w:t>
      </w:r>
      <w:r w:rsidRPr="00F105C5">
        <w:rPr>
          <w:rFonts w:ascii="Arial" w:eastAsia="NotDefSpecial" w:hAnsi="Arial" w:cs="Arial"/>
          <w:b/>
          <w:sz w:val="24"/>
          <w:szCs w:val="24"/>
        </w:rPr>
        <w:tab/>
        <w:t>The total number of enrolled school age children in the Northern Territory who failed to attend school more than 50% of the time in 2009.</w:t>
      </w: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105C5" w:rsidRPr="00F105C5" w:rsidRDefault="00F105C5" w:rsidP="00F105C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105C5">
        <w:rPr>
          <w:rFonts w:ascii="Arial" w:hAnsi="Arial" w:cs="Arial"/>
          <w:sz w:val="24"/>
          <w:szCs w:val="24"/>
        </w:rPr>
        <w:t xml:space="preserve">Of the students who were enrolled at Northern Territory government schools during 2009, approximately 3820 only attended school up to 50% of the time. </w:t>
      </w:r>
    </w:p>
    <w:p w:rsidR="00F105C5" w:rsidRPr="00F105C5" w:rsidRDefault="00F105C5" w:rsidP="00F105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F105C5">
        <w:rPr>
          <w:rFonts w:ascii="Arial" w:eastAsia="NotDefSpecial" w:hAnsi="Arial" w:cs="Arial"/>
          <w:b/>
          <w:sz w:val="24"/>
          <w:szCs w:val="24"/>
        </w:rPr>
        <w:t>6.</w:t>
      </w:r>
      <w:r w:rsidRPr="00F105C5">
        <w:rPr>
          <w:rFonts w:ascii="Arial" w:eastAsia="NotDefSpecial" w:hAnsi="Arial" w:cs="Arial"/>
          <w:b/>
          <w:sz w:val="24"/>
          <w:szCs w:val="24"/>
        </w:rPr>
        <w:tab/>
        <w:t>The total number of enrolled school age children in the Northern Territory who failed to attend school more than 80% of the time in 2009.</w:t>
      </w:r>
    </w:p>
    <w:p w:rsidR="00F105C5" w:rsidRPr="00F105C5" w:rsidRDefault="00F105C5" w:rsidP="00F105C5">
      <w:pPr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105C5" w:rsidRPr="00F105C5" w:rsidRDefault="00F105C5" w:rsidP="00F105C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105C5">
        <w:rPr>
          <w:rFonts w:ascii="Arial" w:hAnsi="Arial" w:cs="Arial"/>
          <w:sz w:val="24"/>
          <w:szCs w:val="24"/>
        </w:rPr>
        <w:t>Of the students who were enrolled at Northern Territory government schools during 2009, approximately 8900 only attended school up to 80% of the time.</w:t>
      </w:r>
    </w:p>
    <w:p w:rsidR="00F96C79" w:rsidRPr="00F105C5" w:rsidRDefault="00F96C79" w:rsidP="00F105C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0C2C61" w:rsidRDefault="000C2C61" w:rsidP="00F105C5">
      <w:pPr>
        <w:tabs>
          <w:tab w:val="left" w:pos="567"/>
        </w:tabs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F105C5">
        <w:rPr>
          <w:rFonts w:ascii="Arial" w:eastAsia="NotDefSpecial" w:hAnsi="Arial" w:cs="Arial"/>
          <w:b/>
          <w:sz w:val="24"/>
          <w:szCs w:val="24"/>
        </w:rPr>
        <w:t>7.</w:t>
      </w:r>
      <w:r w:rsidRPr="00F105C5">
        <w:rPr>
          <w:rFonts w:ascii="Arial" w:eastAsia="NotDefSpecial" w:hAnsi="Arial" w:cs="Arial"/>
          <w:b/>
          <w:sz w:val="24"/>
          <w:szCs w:val="24"/>
        </w:rPr>
        <w:tab/>
        <w:t>The total number of parents in the Northern Territory who had income deducted to pay for school breakfast and lunch for their children in 2009.</w:t>
      </w:r>
    </w:p>
    <w:p w:rsidR="00F105C5" w:rsidRPr="00F105C5" w:rsidRDefault="00F105C5" w:rsidP="00F105C5">
      <w:pPr>
        <w:tabs>
          <w:tab w:val="left" w:pos="567"/>
        </w:tabs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</w:p>
    <w:p w:rsidR="000C2C61" w:rsidRPr="00F105C5" w:rsidRDefault="000C2C61" w:rsidP="000C2C61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  <w:r w:rsidRPr="00F105C5">
        <w:rPr>
          <w:rFonts w:ascii="Arial" w:hAnsi="Arial" w:cs="Arial"/>
          <w:sz w:val="24"/>
          <w:szCs w:val="24"/>
        </w:rPr>
        <w:t xml:space="preserve">DET cannot provide </w:t>
      </w:r>
      <w:r w:rsidR="005B2182" w:rsidRPr="00F105C5">
        <w:rPr>
          <w:rFonts w:ascii="Arial" w:hAnsi="Arial" w:cs="Arial"/>
          <w:sz w:val="24"/>
          <w:szCs w:val="24"/>
        </w:rPr>
        <w:t>this data. B</w:t>
      </w:r>
      <w:r w:rsidRPr="00F105C5">
        <w:rPr>
          <w:rFonts w:ascii="Arial" w:hAnsi="Arial" w:cs="Arial"/>
          <w:sz w:val="24"/>
          <w:szCs w:val="24"/>
        </w:rPr>
        <w:t xml:space="preserve">reakfast and lunch programs are </w:t>
      </w:r>
      <w:r w:rsidR="005B2182" w:rsidRPr="00F105C5">
        <w:rPr>
          <w:rFonts w:ascii="Arial" w:hAnsi="Arial" w:cs="Arial"/>
          <w:sz w:val="24"/>
          <w:szCs w:val="24"/>
        </w:rPr>
        <w:t xml:space="preserve">provided by </w:t>
      </w:r>
      <w:r w:rsidRPr="00F105C5">
        <w:rPr>
          <w:rFonts w:ascii="Arial" w:hAnsi="Arial" w:cs="Arial"/>
          <w:sz w:val="24"/>
          <w:szCs w:val="24"/>
        </w:rPr>
        <w:t>Centrelink</w:t>
      </w:r>
      <w:r w:rsidR="003A6A3B" w:rsidRPr="00F105C5">
        <w:rPr>
          <w:rFonts w:ascii="Arial" w:hAnsi="Arial" w:cs="Arial"/>
          <w:sz w:val="24"/>
          <w:szCs w:val="24"/>
        </w:rPr>
        <w:t>/Department of Families, Housing, Community Services and Indigenous Affairs</w:t>
      </w:r>
      <w:r w:rsidRPr="00F105C5">
        <w:rPr>
          <w:rFonts w:ascii="Arial" w:hAnsi="Arial" w:cs="Arial"/>
          <w:sz w:val="24"/>
          <w:szCs w:val="24"/>
        </w:rPr>
        <w:t>.</w:t>
      </w:r>
    </w:p>
    <w:p w:rsidR="000C2C61" w:rsidRPr="00F105C5" w:rsidRDefault="000C2C61" w:rsidP="000C2C6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F105C5" w:rsidRDefault="00F105C5">
      <w:pPr>
        <w:rPr>
          <w:rFonts w:ascii="Arial" w:eastAsia="NotDefSpecial" w:hAnsi="Arial" w:cs="Arial"/>
          <w:b/>
          <w:sz w:val="24"/>
          <w:szCs w:val="24"/>
        </w:rPr>
      </w:pPr>
      <w:r>
        <w:rPr>
          <w:rFonts w:ascii="Arial" w:eastAsia="NotDefSpecial" w:hAnsi="Arial" w:cs="Arial"/>
          <w:b/>
          <w:sz w:val="24"/>
          <w:szCs w:val="24"/>
        </w:rPr>
        <w:br w:type="page"/>
      </w:r>
    </w:p>
    <w:p w:rsidR="00220C57" w:rsidRPr="00F105C5" w:rsidRDefault="000C2C61" w:rsidP="00220C5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F105C5">
        <w:rPr>
          <w:rFonts w:ascii="Arial" w:eastAsia="NotDefSpecial" w:hAnsi="Arial" w:cs="Arial"/>
          <w:b/>
          <w:sz w:val="24"/>
          <w:szCs w:val="24"/>
        </w:rPr>
        <w:lastRenderedPageBreak/>
        <w:t>8.</w:t>
      </w:r>
      <w:r w:rsidRPr="00F105C5">
        <w:rPr>
          <w:rFonts w:ascii="Arial" w:eastAsia="NotDefSpecial" w:hAnsi="Arial" w:cs="Arial"/>
          <w:b/>
          <w:sz w:val="24"/>
          <w:szCs w:val="24"/>
        </w:rPr>
        <w:tab/>
        <w:t>The total number of Family Responsibility Orders that were issued in 2009 as a result of children not attending school.</w:t>
      </w:r>
    </w:p>
    <w:p w:rsidR="00220C57" w:rsidRPr="00220C57" w:rsidRDefault="00220C57" w:rsidP="00220C57">
      <w:pPr>
        <w:pStyle w:val="ListParagraph"/>
        <w:spacing w:before="100" w:beforeAutospacing="1" w:after="100" w:afterAutospacing="1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 xml:space="preserve">Family Responsibility Agreements and Family Responsibility Orders are entered into and </w:t>
      </w:r>
      <w:proofErr w:type="gramStart"/>
      <w:r w:rsidRPr="00220C57">
        <w:rPr>
          <w:rFonts w:ascii="Arial" w:hAnsi="Arial" w:cs="Arial"/>
          <w:sz w:val="24"/>
          <w:szCs w:val="24"/>
        </w:rPr>
        <w:t>made</w:t>
      </w:r>
      <w:proofErr w:type="gramEnd"/>
      <w:r w:rsidRPr="00220C57">
        <w:rPr>
          <w:rFonts w:ascii="Arial" w:hAnsi="Arial" w:cs="Arial"/>
          <w:sz w:val="24"/>
          <w:szCs w:val="24"/>
        </w:rPr>
        <w:t xml:space="preserve"> in accordance with the </w:t>
      </w:r>
      <w:r w:rsidRPr="00220C57">
        <w:rPr>
          <w:rFonts w:ascii="Arial" w:hAnsi="Arial" w:cs="Arial"/>
          <w:i/>
          <w:iCs/>
          <w:sz w:val="24"/>
          <w:szCs w:val="24"/>
        </w:rPr>
        <w:t>Youth Justice Act</w:t>
      </w:r>
      <w:r w:rsidRPr="00220C57">
        <w:rPr>
          <w:rFonts w:ascii="Arial" w:hAnsi="Arial" w:cs="Arial"/>
          <w:sz w:val="24"/>
          <w:szCs w:val="24"/>
        </w:rPr>
        <w:t xml:space="preserve">.  </w:t>
      </w:r>
    </w:p>
    <w:p w:rsidR="00220C57" w:rsidRPr="00220C57" w:rsidRDefault="00220C57" w:rsidP="00220C57">
      <w:pPr>
        <w:pStyle w:val="ListParagraph"/>
        <w:spacing w:before="100" w:beforeAutospacing="1" w:after="100" w:afterAutospacing="1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 xml:space="preserve">Under the </w:t>
      </w:r>
      <w:r w:rsidRPr="00220C57">
        <w:rPr>
          <w:rFonts w:ascii="Arial" w:hAnsi="Arial" w:cs="Arial"/>
          <w:i/>
          <w:iCs/>
          <w:sz w:val="24"/>
          <w:szCs w:val="24"/>
        </w:rPr>
        <w:t>Youth Justice Act</w:t>
      </w:r>
      <w:r w:rsidRPr="00220C57">
        <w:rPr>
          <w:rFonts w:ascii="Arial" w:hAnsi="Arial" w:cs="Arial"/>
          <w:sz w:val="24"/>
          <w:szCs w:val="24"/>
        </w:rPr>
        <w:t xml:space="preserve"> a Family Responsibility Agreement can be entered into between an Agency and a parent if:</w:t>
      </w:r>
    </w:p>
    <w:p w:rsidR="00220C57" w:rsidRPr="00220C57" w:rsidRDefault="00220C57" w:rsidP="00220C5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>a youth demonstrates behavioural problems (for example, criminal behaviour, persistent truancy and anti-social behaviour); and</w:t>
      </w:r>
    </w:p>
    <w:p w:rsidR="00220C57" w:rsidRPr="00220C57" w:rsidRDefault="00220C57" w:rsidP="00220C5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 xml:space="preserve">the family circumstances are causing or contributing to those behavioural problems; and </w:t>
      </w:r>
    </w:p>
    <w:p w:rsidR="00220C57" w:rsidRPr="00220C57" w:rsidRDefault="00220C57" w:rsidP="00220C5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 xml:space="preserve">the Agency considers that the agreement may resolve the problems.  </w:t>
      </w:r>
    </w:p>
    <w:p w:rsidR="00220C57" w:rsidRPr="00220C57" w:rsidRDefault="00220C57" w:rsidP="00220C57">
      <w:pPr>
        <w:pStyle w:val="ListParagraph"/>
        <w:spacing w:before="100" w:beforeAutospacing="1" w:after="100" w:afterAutospacing="1" w:line="240" w:lineRule="auto"/>
        <w:ind w:left="567"/>
        <w:contextualSpacing w:val="0"/>
        <w:rPr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 xml:space="preserve">As such, Family Responsibility Agreements and Orders are not entered into or made specifically in relation to school attendance. </w:t>
      </w:r>
    </w:p>
    <w:p w:rsidR="00220C57" w:rsidRPr="00220C57" w:rsidRDefault="00220C57" w:rsidP="00220C57">
      <w:pPr>
        <w:spacing w:before="100" w:beforeAutospacing="1" w:after="100" w:afterAutospacing="1" w:line="240" w:lineRule="auto"/>
        <w:ind w:left="567"/>
        <w:rPr>
          <w:sz w:val="24"/>
          <w:szCs w:val="24"/>
        </w:rPr>
      </w:pPr>
      <w:r w:rsidRPr="00220C57">
        <w:rPr>
          <w:rFonts w:ascii="Arial" w:hAnsi="Arial" w:cs="Arial"/>
          <w:sz w:val="24"/>
          <w:szCs w:val="24"/>
        </w:rPr>
        <w:t>Since July 2009, 40 Family Responsibility Agreements have been entered into.</w:t>
      </w:r>
    </w:p>
    <w:p w:rsidR="000C2C61" w:rsidRDefault="000C2C61" w:rsidP="005B2182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0C2C61" w:rsidRPr="000C2C61" w:rsidRDefault="000C2C61" w:rsidP="000C2C6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>
        <w:rPr>
          <w:rFonts w:ascii="Arial" w:eastAsia="NotDefSpecial" w:hAnsi="Arial" w:cs="Arial"/>
          <w:b/>
          <w:sz w:val="24"/>
          <w:szCs w:val="24"/>
        </w:rPr>
        <w:t>9.</w:t>
      </w:r>
      <w:r w:rsidRPr="000C2C61">
        <w:rPr>
          <w:rFonts w:ascii="Arial" w:eastAsia="NotDefSpecial" w:hAnsi="Arial" w:cs="Arial"/>
          <w:b/>
          <w:sz w:val="24"/>
          <w:szCs w:val="24"/>
        </w:rPr>
        <w:tab/>
        <w:t>The total amount invested by the Henderson Government in measures specifically designed to improve school attendance in 2009/2010.</w:t>
      </w:r>
    </w:p>
    <w:p w:rsidR="000C2C61" w:rsidRDefault="000C2C61" w:rsidP="000C2C6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B593D" w:rsidRPr="007176E5" w:rsidRDefault="000C2C61" w:rsidP="00220C57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96C79">
        <w:rPr>
          <w:rFonts w:ascii="Arial" w:hAnsi="Arial" w:cs="Arial"/>
          <w:sz w:val="24"/>
          <w:szCs w:val="24"/>
        </w:rPr>
        <w:t>the</w:t>
      </w:r>
      <w:proofErr w:type="spellEnd"/>
      <w:r w:rsidR="00F96C79">
        <w:rPr>
          <w:rFonts w:ascii="Arial" w:hAnsi="Arial" w:cs="Arial"/>
          <w:sz w:val="24"/>
          <w:szCs w:val="24"/>
        </w:rPr>
        <w:t xml:space="preserve"> School Enrolment and Attendance Team is a measure </w:t>
      </w:r>
      <w:r>
        <w:rPr>
          <w:rFonts w:ascii="Arial" w:hAnsi="Arial" w:cs="Arial"/>
          <w:sz w:val="24"/>
          <w:szCs w:val="24"/>
        </w:rPr>
        <w:t>specifically designed to improve school attendance</w:t>
      </w:r>
      <w:r w:rsidR="00233E7B">
        <w:rPr>
          <w:rFonts w:ascii="Arial" w:hAnsi="Arial" w:cs="Arial"/>
          <w:sz w:val="24"/>
          <w:szCs w:val="24"/>
        </w:rPr>
        <w:t xml:space="preserve"> however</w:t>
      </w:r>
      <w:r>
        <w:rPr>
          <w:rFonts w:ascii="Arial" w:hAnsi="Arial" w:cs="Arial"/>
          <w:sz w:val="24"/>
          <w:szCs w:val="24"/>
        </w:rPr>
        <w:t xml:space="preserve"> </w:t>
      </w:r>
      <w:r w:rsidR="00233E7B">
        <w:rPr>
          <w:rFonts w:ascii="Arial" w:hAnsi="Arial" w:cs="Arial"/>
          <w:sz w:val="24"/>
          <w:szCs w:val="24"/>
        </w:rPr>
        <w:t>Clontarf Football Academies and Home Liaison Officers play crucial roles. A</w:t>
      </w:r>
      <w:r>
        <w:rPr>
          <w:rFonts w:ascii="Arial" w:hAnsi="Arial" w:cs="Arial"/>
          <w:sz w:val="24"/>
          <w:szCs w:val="24"/>
        </w:rPr>
        <w:t>pproximately $7.6</w:t>
      </w:r>
      <w:r w:rsidR="007F0A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233E7B">
        <w:rPr>
          <w:rFonts w:ascii="Arial" w:hAnsi="Arial" w:cs="Arial"/>
          <w:sz w:val="24"/>
          <w:szCs w:val="24"/>
        </w:rPr>
        <w:t>was spent on all of the above measures in 2009/2010.</w:t>
      </w:r>
      <w:r w:rsidR="00233E7B" w:rsidRPr="00233E7B">
        <w:rPr>
          <w:rFonts w:ascii="Arial" w:hAnsi="Arial" w:cs="Arial"/>
          <w:sz w:val="24"/>
          <w:szCs w:val="24"/>
        </w:rPr>
        <w:t xml:space="preserve"> </w:t>
      </w:r>
    </w:p>
    <w:p w:rsidR="001B593D" w:rsidRPr="007176E5" w:rsidRDefault="001B593D" w:rsidP="007176E5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0C2C61" w:rsidRPr="000C2C61" w:rsidRDefault="001B593D" w:rsidP="00767DA7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eastAsia="NotDefSpecial" w:hAnsi="Arial" w:cs="Arial"/>
          <w:b/>
          <w:sz w:val="24"/>
          <w:szCs w:val="24"/>
        </w:rPr>
        <w:t>10.</w:t>
      </w:r>
      <w:r>
        <w:rPr>
          <w:rFonts w:ascii="Arial" w:eastAsia="NotDefSpecial" w:hAnsi="Arial" w:cs="Arial"/>
          <w:b/>
          <w:sz w:val="24"/>
          <w:szCs w:val="24"/>
        </w:rPr>
        <w:tab/>
      </w:r>
      <w:r w:rsidR="000C2C61" w:rsidRPr="000C2C61">
        <w:rPr>
          <w:rFonts w:ascii="Arial" w:eastAsia="NotDefSpecial" w:hAnsi="Arial" w:cs="Arial"/>
          <w:b/>
          <w:sz w:val="24"/>
          <w:szCs w:val="24"/>
        </w:rPr>
        <w:t>The enrolment and attendance rates at Northern Territory schools where bilingual education was ended in 2010 and a comparison with 2009.</w:t>
      </w:r>
    </w:p>
    <w:p w:rsidR="000C2C61" w:rsidRDefault="000C2C61" w:rsidP="00767D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D1147" w:rsidRDefault="00233E7B" w:rsidP="00767DA7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Aboriginal languages</w:t>
      </w:r>
      <w:r w:rsidR="000013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English are spoken in most very remote schools, t</w:t>
      </w:r>
      <w:r w:rsidR="008D1147">
        <w:rPr>
          <w:rFonts w:ascii="Arial" w:eastAsia="Times New Roman" w:hAnsi="Arial" w:cs="Arial"/>
          <w:sz w:val="24"/>
          <w:szCs w:val="24"/>
        </w:rPr>
        <w:t>he Department of Education and Training expects student learning in English to be strongly supported by use of home languages.</w:t>
      </w:r>
      <w:r w:rsidR="00655353">
        <w:rPr>
          <w:rFonts w:ascii="Arial" w:eastAsia="Times New Roman" w:hAnsi="Arial" w:cs="Arial"/>
          <w:sz w:val="24"/>
          <w:szCs w:val="24"/>
        </w:rPr>
        <w:t xml:space="preserve"> A new English language policy was introduced in October 2008.</w:t>
      </w:r>
    </w:p>
    <w:p w:rsidR="003D4C15" w:rsidRPr="007176E5" w:rsidRDefault="003D4C15" w:rsidP="00220C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00" w:type="dxa"/>
        <w:tblInd w:w="675" w:type="dxa"/>
        <w:tblLook w:val="04A0"/>
      </w:tblPr>
      <w:tblGrid>
        <w:gridCol w:w="2120"/>
        <w:gridCol w:w="715"/>
        <w:gridCol w:w="1205"/>
        <w:gridCol w:w="715"/>
        <w:gridCol w:w="1205"/>
        <w:gridCol w:w="715"/>
        <w:gridCol w:w="1205"/>
        <w:gridCol w:w="715"/>
        <w:gridCol w:w="1205"/>
      </w:tblGrid>
      <w:tr w:rsidR="00FF2A4D" w:rsidRPr="001B593D" w:rsidTr="00233E7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2007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2008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2009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2010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Enr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Att</w:t>
            </w:r>
            <w:proofErr w:type="spellEnd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 xml:space="preserve"> Rate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Enr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Att</w:t>
            </w:r>
            <w:proofErr w:type="spellEnd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 xml:space="preserve"> Rate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Enr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Att</w:t>
            </w:r>
            <w:proofErr w:type="spellEnd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 xml:space="preserve"> Rate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Enr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proofErr w:type="spellStart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Att</w:t>
            </w:r>
            <w:proofErr w:type="spellEnd"/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 xml:space="preserve"> Rate</w:t>
            </w:r>
          </w:p>
        </w:tc>
      </w:tr>
      <w:tr w:rsidR="00FF2A4D" w:rsidRPr="001B593D" w:rsidTr="00233E7B">
        <w:trPr>
          <w:trHeight w:val="25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Areyonga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84.8%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84.4%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89.4%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89.8%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Lajamanu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61.5%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60.5%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56.1%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43.2%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Maningrida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48.2%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44.4%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40.8%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38.9%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Milingimbi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64.4%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64.4%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67.5%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65.1%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Numbulwar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57.0%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59.1%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50.4%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49.6%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Shepherdson College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56.4%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50.8%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58.0%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52.1%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Willowra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67.7%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58.0%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63.0%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42.8%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Yirrkala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48.6%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57.3%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57.1%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61.3%</w:t>
            </w:r>
          </w:p>
        </w:tc>
      </w:tr>
      <w:tr w:rsidR="00FF2A4D" w:rsidRPr="001B593D" w:rsidTr="00233E7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  <w:t>Yuendumu School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48.0%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50.7%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55.2%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4D" w:rsidRPr="001B593D" w:rsidRDefault="00FF2A4D" w:rsidP="00FF2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B593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48.4%</w:t>
            </w:r>
          </w:p>
        </w:tc>
      </w:tr>
    </w:tbl>
    <w:p w:rsidR="00FF2A4D" w:rsidRDefault="00FF2A4D" w:rsidP="003D4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4C15" w:rsidRPr="00FF2A4D" w:rsidRDefault="003D4C15" w:rsidP="003D4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D4C15" w:rsidRPr="00FF2A4D" w:rsidSect="00220C57">
      <w:footerReference w:type="default" r:id="rId8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57" w:rsidRDefault="00220C57" w:rsidP="00015EC4">
      <w:pPr>
        <w:spacing w:after="0" w:line="240" w:lineRule="auto"/>
      </w:pPr>
      <w:r>
        <w:separator/>
      </w:r>
    </w:p>
  </w:endnote>
  <w:endnote w:type="continuationSeparator" w:id="0">
    <w:p w:rsidR="00220C57" w:rsidRDefault="00220C57" w:rsidP="000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57" w:rsidRPr="00015EC4" w:rsidRDefault="00220C57">
    <w:pPr>
      <w:pStyle w:val="Footer"/>
      <w:jc w:val="center"/>
      <w:rPr>
        <w:rFonts w:ascii="Arial" w:hAnsi="Arial" w:cs="Arial"/>
        <w:sz w:val="24"/>
        <w:szCs w:val="24"/>
      </w:rPr>
    </w:pPr>
  </w:p>
  <w:p w:rsidR="00220C57" w:rsidRPr="00015EC4" w:rsidRDefault="000D6538">
    <w:pPr>
      <w:pStyle w:val="Foot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5181610"/>
        <w:docPartObj>
          <w:docPartGallery w:val="Page Numbers (Bottom of Page)"/>
          <w:docPartUnique/>
        </w:docPartObj>
      </w:sdtPr>
      <w:sdtContent>
        <w:r w:rsidRPr="00015EC4">
          <w:rPr>
            <w:rFonts w:ascii="Arial" w:hAnsi="Arial" w:cs="Arial"/>
            <w:sz w:val="24"/>
            <w:szCs w:val="24"/>
          </w:rPr>
          <w:fldChar w:fldCharType="begin"/>
        </w:r>
        <w:r w:rsidR="00220C57" w:rsidRPr="00015E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15EC4">
          <w:rPr>
            <w:rFonts w:ascii="Arial" w:hAnsi="Arial" w:cs="Arial"/>
            <w:sz w:val="24"/>
            <w:szCs w:val="24"/>
          </w:rPr>
          <w:fldChar w:fldCharType="separate"/>
        </w:r>
        <w:r w:rsidR="00F105C5">
          <w:rPr>
            <w:rFonts w:ascii="Arial" w:hAnsi="Arial" w:cs="Arial"/>
            <w:noProof/>
            <w:sz w:val="24"/>
            <w:szCs w:val="24"/>
          </w:rPr>
          <w:t>1</w:t>
        </w:r>
        <w:r w:rsidRPr="00015EC4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57" w:rsidRDefault="00220C57" w:rsidP="00015EC4">
      <w:pPr>
        <w:spacing w:after="0" w:line="240" w:lineRule="auto"/>
      </w:pPr>
      <w:r>
        <w:separator/>
      </w:r>
    </w:p>
  </w:footnote>
  <w:footnote w:type="continuationSeparator" w:id="0">
    <w:p w:rsidR="00220C57" w:rsidRDefault="00220C57" w:rsidP="0001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3D89"/>
    <w:multiLevelType w:val="hybridMultilevel"/>
    <w:tmpl w:val="40488A50"/>
    <w:lvl w:ilvl="0" w:tplc="C626513E">
      <w:start w:val="1"/>
      <w:numFmt w:val="upperLetter"/>
      <w:lvlText w:val="%1."/>
      <w:lvlJc w:val="left"/>
      <w:pPr>
        <w:ind w:left="9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6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31C8A"/>
    <w:multiLevelType w:val="hybridMultilevel"/>
    <w:tmpl w:val="FC5E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653B"/>
    <w:multiLevelType w:val="hybridMultilevel"/>
    <w:tmpl w:val="CB5AE098"/>
    <w:lvl w:ilvl="0" w:tplc="65560554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5759E"/>
    <w:multiLevelType w:val="hybridMultilevel"/>
    <w:tmpl w:val="A4E8F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7553"/>
    <w:multiLevelType w:val="hybridMultilevel"/>
    <w:tmpl w:val="A5FC3504"/>
    <w:lvl w:ilvl="0" w:tplc="FCA6009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25099"/>
    <w:multiLevelType w:val="hybridMultilevel"/>
    <w:tmpl w:val="4E022128"/>
    <w:lvl w:ilvl="0" w:tplc="A878B4DE">
      <w:start w:val="1"/>
      <w:numFmt w:val="decimal"/>
      <w:lvlText w:val="(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7"/>
    <w:rsid w:val="000013D9"/>
    <w:rsid w:val="00015EC4"/>
    <w:rsid w:val="00051679"/>
    <w:rsid w:val="000516E1"/>
    <w:rsid w:val="00056EBA"/>
    <w:rsid w:val="00057344"/>
    <w:rsid w:val="00066ECE"/>
    <w:rsid w:val="00074BFD"/>
    <w:rsid w:val="00091485"/>
    <w:rsid w:val="000A3101"/>
    <w:rsid w:val="000B7A1A"/>
    <w:rsid w:val="000C2C61"/>
    <w:rsid w:val="000D6538"/>
    <w:rsid w:val="00113889"/>
    <w:rsid w:val="0012154D"/>
    <w:rsid w:val="001259E3"/>
    <w:rsid w:val="00126A07"/>
    <w:rsid w:val="001344EB"/>
    <w:rsid w:val="0014050C"/>
    <w:rsid w:val="0014159E"/>
    <w:rsid w:val="001454A3"/>
    <w:rsid w:val="00161990"/>
    <w:rsid w:val="00170E6F"/>
    <w:rsid w:val="00182B0E"/>
    <w:rsid w:val="00190093"/>
    <w:rsid w:val="00191D33"/>
    <w:rsid w:val="00197891"/>
    <w:rsid w:val="001B593D"/>
    <w:rsid w:val="001C19EC"/>
    <w:rsid w:val="001F276C"/>
    <w:rsid w:val="001F3424"/>
    <w:rsid w:val="001F5963"/>
    <w:rsid w:val="002023FD"/>
    <w:rsid w:val="00220C57"/>
    <w:rsid w:val="00233E7B"/>
    <w:rsid w:val="002361FF"/>
    <w:rsid w:val="00237687"/>
    <w:rsid w:val="0024451C"/>
    <w:rsid w:val="00256CEC"/>
    <w:rsid w:val="00271FD0"/>
    <w:rsid w:val="002778D5"/>
    <w:rsid w:val="00277B12"/>
    <w:rsid w:val="00281415"/>
    <w:rsid w:val="00294C4E"/>
    <w:rsid w:val="002B1CBA"/>
    <w:rsid w:val="002C5349"/>
    <w:rsid w:val="002D0587"/>
    <w:rsid w:val="002D2DEF"/>
    <w:rsid w:val="002D6824"/>
    <w:rsid w:val="002E08E5"/>
    <w:rsid w:val="0030174C"/>
    <w:rsid w:val="00314150"/>
    <w:rsid w:val="00317F07"/>
    <w:rsid w:val="00345772"/>
    <w:rsid w:val="00347D26"/>
    <w:rsid w:val="00367092"/>
    <w:rsid w:val="0037143B"/>
    <w:rsid w:val="0039531E"/>
    <w:rsid w:val="00395D7F"/>
    <w:rsid w:val="003A6A3B"/>
    <w:rsid w:val="003C39E9"/>
    <w:rsid w:val="003D4C15"/>
    <w:rsid w:val="003E4A3B"/>
    <w:rsid w:val="00405AE7"/>
    <w:rsid w:val="00427D8E"/>
    <w:rsid w:val="00441163"/>
    <w:rsid w:val="0044596B"/>
    <w:rsid w:val="00451614"/>
    <w:rsid w:val="0045553F"/>
    <w:rsid w:val="00486D7B"/>
    <w:rsid w:val="004A0F07"/>
    <w:rsid w:val="004A6DB3"/>
    <w:rsid w:val="004C25C8"/>
    <w:rsid w:val="004D12B3"/>
    <w:rsid w:val="004D43CA"/>
    <w:rsid w:val="004F1F92"/>
    <w:rsid w:val="00507F07"/>
    <w:rsid w:val="00520458"/>
    <w:rsid w:val="00522248"/>
    <w:rsid w:val="005323AA"/>
    <w:rsid w:val="005425AA"/>
    <w:rsid w:val="00546639"/>
    <w:rsid w:val="00554BF5"/>
    <w:rsid w:val="005558D1"/>
    <w:rsid w:val="0057307E"/>
    <w:rsid w:val="00573699"/>
    <w:rsid w:val="005B2182"/>
    <w:rsid w:val="005B69FF"/>
    <w:rsid w:val="005E2A03"/>
    <w:rsid w:val="00604D07"/>
    <w:rsid w:val="00613248"/>
    <w:rsid w:val="00644AF6"/>
    <w:rsid w:val="00655353"/>
    <w:rsid w:val="0065605B"/>
    <w:rsid w:val="00687224"/>
    <w:rsid w:val="006A7E76"/>
    <w:rsid w:val="006D54F8"/>
    <w:rsid w:val="007176E5"/>
    <w:rsid w:val="007544F7"/>
    <w:rsid w:val="007632AB"/>
    <w:rsid w:val="00764008"/>
    <w:rsid w:val="00767DA7"/>
    <w:rsid w:val="0077057E"/>
    <w:rsid w:val="00782B82"/>
    <w:rsid w:val="007831CE"/>
    <w:rsid w:val="00790665"/>
    <w:rsid w:val="007A4E65"/>
    <w:rsid w:val="007C42F0"/>
    <w:rsid w:val="007F0AA9"/>
    <w:rsid w:val="007F6815"/>
    <w:rsid w:val="0081758B"/>
    <w:rsid w:val="00851BFC"/>
    <w:rsid w:val="00870179"/>
    <w:rsid w:val="008723D2"/>
    <w:rsid w:val="00874759"/>
    <w:rsid w:val="00887580"/>
    <w:rsid w:val="008878D9"/>
    <w:rsid w:val="008A253E"/>
    <w:rsid w:val="008A482F"/>
    <w:rsid w:val="008D1147"/>
    <w:rsid w:val="009265DC"/>
    <w:rsid w:val="00931C46"/>
    <w:rsid w:val="00935431"/>
    <w:rsid w:val="00941A36"/>
    <w:rsid w:val="0096399B"/>
    <w:rsid w:val="00967509"/>
    <w:rsid w:val="00985408"/>
    <w:rsid w:val="00996222"/>
    <w:rsid w:val="009B64F9"/>
    <w:rsid w:val="009C1873"/>
    <w:rsid w:val="009C31D2"/>
    <w:rsid w:val="009D3B83"/>
    <w:rsid w:val="009D6BEC"/>
    <w:rsid w:val="009D6D38"/>
    <w:rsid w:val="009D773A"/>
    <w:rsid w:val="009E3502"/>
    <w:rsid w:val="009E7E0C"/>
    <w:rsid w:val="009F2664"/>
    <w:rsid w:val="00A2168C"/>
    <w:rsid w:val="00A32934"/>
    <w:rsid w:val="00A5233C"/>
    <w:rsid w:val="00A57714"/>
    <w:rsid w:val="00A618FE"/>
    <w:rsid w:val="00A67814"/>
    <w:rsid w:val="00A73D49"/>
    <w:rsid w:val="00A74F90"/>
    <w:rsid w:val="00AC23FE"/>
    <w:rsid w:val="00AC4551"/>
    <w:rsid w:val="00AC6D2D"/>
    <w:rsid w:val="00AE0711"/>
    <w:rsid w:val="00AE5194"/>
    <w:rsid w:val="00B0268C"/>
    <w:rsid w:val="00B02EA8"/>
    <w:rsid w:val="00B03193"/>
    <w:rsid w:val="00B043A6"/>
    <w:rsid w:val="00B12958"/>
    <w:rsid w:val="00B250C2"/>
    <w:rsid w:val="00B56684"/>
    <w:rsid w:val="00B63984"/>
    <w:rsid w:val="00B73ED0"/>
    <w:rsid w:val="00B7796B"/>
    <w:rsid w:val="00B87CDE"/>
    <w:rsid w:val="00B87D09"/>
    <w:rsid w:val="00B931D0"/>
    <w:rsid w:val="00BA017F"/>
    <w:rsid w:val="00BC24BD"/>
    <w:rsid w:val="00BD69E1"/>
    <w:rsid w:val="00BE0799"/>
    <w:rsid w:val="00BF4FFA"/>
    <w:rsid w:val="00C221D2"/>
    <w:rsid w:val="00C34FF8"/>
    <w:rsid w:val="00C371E2"/>
    <w:rsid w:val="00C46750"/>
    <w:rsid w:val="00C62FA0"/>
    <w:rsid w:val="00C67F85"/>
    <w:rsid w:val="00C732BF"/>
    <w:rsid w:val="00C8076C"/>
    <w:rsid w:val="00C8247C"/>
    <w:rsid w:val="00C964C3"/>
    <w:rsid w:val="00CA75FA"/>
    <w:rsid w:val="00CD076B"/>
    <w:rsid w:val="00CE7BDD"/>
    <w:rsid w:val="00CF3C56"/>
    <w:rsid w:val="00D0784A"/>
    <w:rsid w:val="00D219A4"/>
    <w:rsid w:val="00D374BF"/>
    <w:rsid w:val="00D5643B"/>
    <w:rsid w:val="00D56CAA"/>
    <w:rsid w:val="00D64473"/>
    <w:rsid w:val="00D64554"/>
    <w:rsid w:val="00D71E69"/>
    <w:rsid w:val="00DA23C6"/>
    <w:rsid w:val="00DC0605"/>
    <w:rsid w:val="00DD75D2"/>
    <w:rsid w:val="00DF0FA4"/>
    <w:rsid w:val="00E01B5A"/>
    <w:rsid w:val="00E07692"/>
    <w:rsid w:val="00E12682"/>
    <w:rsid w:val="00E22471"/>
    <w:rsid w:val="00E27975"/>
    <w:rsid w:val="00E3005D"/>
    <w:rsid w:val="00E4397C"/>
    <w:rsid w:val="00E515C7"/>
    <w:rsid w:val="00E53901"/>
    <w:rsid w:val="00E628F0"/>
    <w:rsid w:val="00E65354"/>
    <w:rsid w:val="00E75E5A"/>
    <w:rsid w:val="00E923BA"/>
    <w:rsid w:val="00EA02AC"/>
    <w:rsid w:val="00EB0D9B"/>
    <w:rsid w:val="00EB67F8"/>
    <w:rsid w:val="00F105C5"/>
    <w:rsid w:val="00F10B3C"/>
    <w:rsid w:val="00F15900"/>
    <w:rsid w:val="00F2069C"/>
    <w:rsid w:val="00F317D4"/>
    <w:rsid w:val="00F325FE"/>
    <w:rsid w:val="00F409CE"/>
    <w:rsid w:val="00F50750"/>
    <w:rsid w:val="00F514B0"/>
    <w:rsid w:val="00F54C17"/>
    <w:rsid w:val="00F80213"/>
    <w:rsid w:val="00F90CA6"/>
    <w:rsid w:val="00F96C79"/>
    <w:rsid w:val="00FA6490"/>
    <w:rsid w:val="00FD28E9"/>
    <w:rsid w:val="00FD6623"/>
    <w:rsid w:val="00FF0A5D"/>
    <w:rsid w:val="00FF179F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C4"/>
  </w:style>
  <w:style w:type="paragraph" w:styleId="Footer">
    <w:name w:val="footer"/>
    <w:basedOn w:val="Normal"/>
    <w:link w:val="FooterChar"/>
    <w:uiPriority w:val="99"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C4"/>
  </w:style>
  <w:style w:type="table" w:styleId="TableGrid">
    <w:name w:val="Table Grid"/>
    <w:basedOn w:val="TableNormal"/>
    <w:uiPriority w:val="59"/>
    <w:rsid w:val="00236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0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377B-9396-473D-BA8A-BD171133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tess.geoghegan-james</dc:creator>
  <cp:keywords/>
  <dc:description/>
  <cp:lastModifiedBy>Ella Mullins</cp:lastModifiedBy>
  <cp:revision>2</cp:revision>
  <cp:lastPrinted>2011-02-07T05:11:00Z</cp:lastPrinted>
  <dcterms:created xsi:type="dcterms:W3CDTF">2011-02-21T23:15:00Z</dcterms:created>
  <dcterms:modified xsi:type="dcterms:W3CDTF">2011-02-21T23:15:00Z</dcterms:modified>
</cp:coreProperties>
</file>